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22" w:type="dxa"/>
        <w:jc w:val="center"/>
        <w:tblLayout w:type="autofit"/>
        <w:tblCellMar>
          <w:top w:w="0" w:type="dxa"/>
          <w:left w:w="108" w:type="dxa"/>
          <w:bottom w:w="0" w:type="dxa"/>
          <w:right w:w="108" w:type="dxa"/>
        </w:tblCellMar>
      </w:tblPr>
      <w:tblGrid>
        <w:gridCol w:w="3993"/>
        <w:gridCol w:w="5529"/>
      </w:tblGrid>
      <w:tr>
        <w:tblPrEx>
          <w:tblCellMar>
            <w:top w:w="0" w:type="dxa"/>
            <w:left w:w="108" w:type="dxa"/>
            <w:bottom w:w="0" w:type="dxa"/>
            <w:right w:w="108" w:type="dxa"/>
          </w:tblCellMar>
        </w:tblPrEx>
        <w:trPr>
          <w:jc w:val="center"/>
        </w:trPr>
        <w:tc>
          <w:tcPr>
            <w:tcW w:w="3993" w:type="dxa"/>
          </w:tcPr>
          <w:p>
            <w:pPr>
              <w:jc w:val="center"/>
              <w:rPr>
                <w:bCs/>
                <w:color w:val="000000" w:themeColor="text1"/>
                <w:spacing w:val="-4"/>
                <w:szCs w:val="28"/>
              </w:rPr>
            </w:pPr>
            <w:r>
              <w:rPr>
                <w:color w:val="000000" w:themeColor="text1"/>
                <w:spacing w:val="-4"/>
                <w:sz w:val="28"/>
                <w:szCs w:val="28"/>
              </w:rPr>
              <w:t xml:space="preserve">UBND </w:t>
            </w:r>
            <w:r>
              <w:rPr>
                <w:bCs/>
                <w:color w:val="000000" w:themeColor="text1"/>
                <w:spacing w:val="-4"/>
                <w:sz w:val="28"/>
                <w:szCs w:val="28"/>
              </w:rPr>
              <w:t>TỈNH QUẢNG NAM</w:t>
            </w:r>
          </w:p>
          <w:p>
            <w:pPr>
              <w:jc w:val="center"/>
              <w:rPr>
                <w:b/>
                <w:color w:val="000000" w:themeColor="text1"/>
                <w:spacing w:val="-4"/>
                <w:szCs w:val="28"/>
              </w:rPr>
            </w:pPr>
            <w:r>
              <w:rPr>
                <w:b/>
                <w:color w:val="000000" w:themeColor="text1"/>
                <w:spacing w:val="-4"/>
                <w:sz w:val="28"/>
                <w:szCs w:val="28"/>
              </w:rPr>
              <w:t>SỞ KẾ HOẠCH VÀ ĐẦU TƯ</w:t>
            </w:r>
          </w:p>
          <w:p>
            <w:pPr>
              <w:jc w:val="center"/>
              <w:rPr>
                <w:color w:val="000000" w:themeColor="text1"/>
                <w:szCs w:val="28"/>
              </w:rPr>
            </w:pPr>
            <w:r>
              <w:rPr>
                <w:color w:val="000000" w:themeColor="text1"/>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638810</wp:posOffset>
                      </wp:positionH>
                      <wp:positionV relativeFrom="paragraph">
                        <wp:posOffset>26670</wp:posOffset>
                      </wp:positionV>
                      <wp:extent cx="853440" cy="0"/>
                      <wp:effectExtent l="0" t="0" r="0" b="0"/>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ln>
                              <a:effectLst/>
                            </wps:spPr>
                            <wps:bodyPr/>
                          </wps:wsp>
                        </a:graphicData>
                      </a:graphic>
                    </wp:anchor>
                  </w:drawing>
                </mc:Choice>
                <mc:Fallback>
                  <w:pict>
                    <v:line id="Line 13" o:spid="_x0000_s1026" o:spt="20" style="position:absolute;left:0pt;margin-left:50.3pt;margin-top:2.1pt;height:0pt;width:67.2pt;z-index:251659264;mso-width-relative:page;mso-height-relative:page;" filled="f" stroked="t" coordsize="21600,21600" o:gfxdata="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cgFQ0wAAAAcBAAAPAAAAAAAAAAEAIAAAACIAAABkcnMv&#10;ZG93bnJldi54bWxQSwECFAAUAAAACACHTuJABdPxbM8BAACtAwAADgAAAAAAAAABACAAAAAiAQAA&#10;ZHJzL2Uyb0RvYy54bWxQSwUGAAAAAAYABgBZAQAAYwUAAAAA&#10;">
                      <v:fill on="f" focussize="0,0"/>
                      <v:stroke color="#000000" joinstyle="round"/>
                      <v:imagedata o:title=""/>
                      <o:lock v:ext="edit" aspectratio="f"/>
                    </v:line>
                  </w:pict>
                </mc:Fallback>
              </mc:AlternateContent>
            </w:r>
          </w:p>
        </w:tc>
        <w:tc>
          <w:tcPr>
            <w:tcW w:w="5529" w:type="dxa"/>
          </w:tcPr>
          <w:p>
            <w:pPr>
              <w:ind w:left="-127" w:right="-56"/>
              <w:jc w:val="center"/>
              <w:rPr>
                <w:b/>
                <w:bCs/>
                <w:color w:val="000000" w:themeColor="text1"/>
                <w:spacing w:val="-14"/>
                <w:szCs w:val="28"/>
              </w:rPr>
            </w:pPr>
            <w:r>
              <w:rPr>
                <w:b/>
                <w:bCs/>
                <w:color w:val="000000" w:themeColor="text1"/>
                <w:spacing w:val="-14"/>
                <w:sz w:val="28"/>
                <w:szCs w:val="28"/>
              </w:rPr>
              <w:t>CỘNG HÒA XÃ HỘI CHỦ NGHĨA VIỆT NAM</w:t>
            </w:r>
          </w:p>
          <w:p>
            <w:pPr>
              <w:jc w:val="center"/>
              <w:rPr>
                <w:b/>
                <w:bCs/>
                <w:color w:val="000000" w:themeColor="text1"/>
                <w:szCs w:val="28"/>
              </w:rPr>
            </w:pPr>
            <w:r>
              <w:rPr>
                <w:b/>
                <w:bCs/>
                <w:color w:val="000000" w:themeColor="text1"/>
                <w:sz w:val="28"/>
                <w:szCs w:val="28"/>
              </w:rPr>
              <w:t>Độc lập - Tự do - Hạnh phúc</w:t>
            </w:r>
          </w:p>
          <w:p>
            <w:pPr>
              <w:jc w:val="center"/>
              <w:rPr>
                <w:color w:val="000000" w:themeColor="text1"/>
                <w:szCs w:val="28"/>
              </w:rPr>
            </w:pPr>
            <w:r>
              <w:rPr>
                <w:color w:val="000000" w:themeColor="text1"/>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807085</wp:posOffset>
                      </wp:positionH>
                      <wp:positionV relativeFrom="paragraph">
                        <wp:posOffset>15240</wp:posOffset>
                      </wp:positionV>
                      <wp:extent cx="1709420" cy="0"/>
                      <wp:effectExtent l="0" t="0" r="0" b="0"/>
                      <wp:wrapNone/>
                      <wp:docPr id="2" name="Straight Connector 4"/>
                      <wp:cNvGraphicFramePr/>
                      <a:graphic xmlns:a="http://schemas.openxmlformats.org/drawingml/2006/main">
                        <a:graphicData uri="http://schemas.microsoft.com/office/word/2010/wordprocessingShape">
                          <wps:wsp>
                            <wps:cNvSpPr/>
                            <wps:spPr>
                              <a:xfrm>
                                <a:off x="0" y="0"/>
                                <a:ext cx="17094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4" o:spid="_x0000_s1026" o:spt="20" style="position:absolute;left:0pt;margin-left:63.55pt;margin-top:1.2pt;height:0pt;width:134.6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rPr>
          <w:jc w:val="center"/>
        </w:trPr>
        <w:tc>
          <w:tcPr>
            <w:tcW w:w="3993" w:type="dxa"/>
          </w:tcPr>
          <w:p>
            <w:pPr>
              <w:jc w:val="center"/>
              <w:rPr>
                <w:color w:val="000000" w:themeColor="text1"/>
                <w:spacing w:val="-14"/>
                <w:szCs w:val="28"/>
              </w:rPr>
            </w:pPr>
            <w:r>
              <w:rPr>
                <w:color w:val="000000" w:themeColor="text1"/>
                <w:spacing w:val="-14"/>
                <w:sz w:val="28"/>
                <w:szCs w:val="28"/>
              </w:rPr>
              <w:t>Số:          /BC - SKHĐT</w:t>
            </w:r>
          </w:p>
        </w:tc>
        <w:tc>
          <w:tcPr>
            <w:tcW w:w="5529" w:type="dxa"/>
          </w:tcPr>
          <w:p>
            <w:pPr>
              <w:keepNext/>
              <w:jc w:val="center"/>
              <w:outlineLvl w:val="0"/>
              <w:rPr>
                <w:bCs/>
                <w:color w:val="000000" w:themeColor="text1"/>
                <w:kern w:val="32"/>
                <w:szCs w:val="28"/>
              </w:rPr>
            </w:pPr>
            <w:r>
              <w:rPr>
                <w:bCs/>
                <w:i/>
                <w:color w:val="000000" w:themeColor="text1"/>
                <w:kern w:val="32"/>
                <w:sz w:val="28"/>
                <w:szCs w:val="28"/>
              </w:rPr>
              <w:t>Quảng Nam, ngày      tháng  năm 2022</w:t>
            </w:r>
          </w:p>
        </w:tc>
      </w:tr>
    </w:tbl>
    <w:p>
      <w:pPr>
        <w:jc w:val="center"/>
        <w:rPr>
          <w:b/>
          <w:color w:val="000000" w:themeColor="text1"/>
          <w:sz w:val="28"/>
          <w:szCs w:val="28"/>
        </w:rPr>
      </w:pPr>
    </w:p>
    <w:p>
      <w:pPr>
        <w:jc w:val="center"/>
        <w:rPr>
          <w:b/>
          <w:color w:val="000000" w:themeColor="text1"/>
          <w:sz w:val="28"/>
          <w:szCs w:val="28"/>
        </w:rPr>
      </w:pPr>
      <w:r>
        <w:rPr>
          <w:b/>
          <w:color w:val="000000" w:themeColor="text1"/>
          <w:sz w:val="28"/>
          <w:szCs w:val="28"/>
        </w:rPr>
        <w:t>BÁO CÁO</w:t>
      </w:r>
    </w:p>
    <w:p>
      <w:pPr>
        <w:spacing w:line="288" w:lineRule="auto"/>
        <w:jc w:val="center"/>
        <w:rPr>
          <w:b/>
          <w:color w:val="000000" w:themeColor="text1"/>
          <w:sz w:val="28"/>
          <w:szCs w:val="28"/>
        </w:rPr>
      </w:pPr>
      <w:r>
        <w:rPr>
          <w:b/>
          <w:color w:val="000000" w:themeColor="text1"/>
          <w:sz w:val="28"/>
          <w:szCs w:val="28"/>
        </w:rPr>
        <w:t xml:space="preserve">Tình hình “sức khỏe của doanh nghiệp” trên địa bàn tỉnh Quảng Nam </w:t>
      </w:r>
    </w:p>
    <w:p>
      <w:pPr>
        <w:spacing w:line="288" w:lineRule="auto"/>
        <w:jc w:val="center"/>
        <w:rPr>
          <w:b/>
          <w:color w:val="000000" w:themeColor="text1"/>
          <w:sz w:val="28"/>
          <w:szCs w:val="28"/>
        </w:rPr>
      </w:pPr>
      <w:r>
        <w:rPr>
          <w:b/>
          <w:color w:val="000000" w:themeColor="text1"/>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2038985</wp:posOffset>
                </wp:positionH>
                <wp:positionV relativeFrom="paragraph">
                  <wp:posOffset>217805</wp:posOffset>
                </wp:positionV>
                <wp:extent cx="1828800" cy="0"/>
                <wp:effectExtent l="0" t="0" r="0" b="0"/>
                <wp:wrapNone/>
                <wp:docPr id="1" name="Straight Connector 1"/>
                <wp:cNvGraphicFramePr/>
                <a:graphic xmlns:a="http://schemas.openxmlformats.org/drawingml/2006/main">
                  <a:graphicData uri="http://schemas.microsoft.com/office/word/2010/wordprocessingShape">
                    <wps:wsp>
                      <wps:cNvSpPr/>
                      <wps:spPr>
                        <a:xfrm flipV="1">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0.55pt;margin-top:17.15pt;height:0pt;width:144pt;z-index:25166028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">
                <v:fill on="f" focussize="0,0"/>
                <v:stroke color="#000000" joinstyle="round"/>
                <v:imagedata o:title=""/>
                <o:lock v:ext="edit" aspectratio="f"/>
              </v:line>
            </w:pict>
          </mc:Fallback>
        </mc:AlternateContent>
      </w:r>
      <w:r>
        <w:rPr>
          <w:b/>
          <w:color w:val="000000" w:themeColor="text1"/>
          <w:sz w:val="28"/>
          <w:szCs w:val="28"/>
        </w:rPr>
        <w:t xml:space="preserve">trong tháng 9 và 9 tháng đầu năm 2022 </w:t>
      </w:r>
    </w:p>
    <w:p>
      <w:pPr>
        <w:spacing w:before="120" w:after="120"/>
        <w:jc w:val="both"/>
        <w:rPr>
          <w:color w:val="000000" w:themeColor="text1"/>
          <w:sz w:val="28"/>
          <w:szCs w:val="28"/>
        </w:rPr>
      </w:pPr>
      <w:r>
        <w:rPr>
          <w:color w:val="000000" w:themeColor="text1"/>
          <w:sz w:val="28"/>
          <w:szCs w:val="28"/>
        </w:rPr>
        <w:tab/>
      </w:r>
      <w:r>
        <w:rPr>
          <w:b/>
          <w:color w:val="000000" w:themeColor="text1"/>
          <w:sz w:val="28"/>
          <w:szCs w:val="28"/>
        </w:rPr>
        <w:t>I. Tình hình “sức khỏe của doanh nghiệp” trên địa bàn tỉnh trong 9 tháng đầu năm 2022</w:t>
      </w:r>
    </w:p>
    <w:p>
      <w:pPr>
        <w:spacing w:before="120" w:after="120"/>
        <w:jc w:val="both"/>
        <w:rPr>
          <w:color w:val="000000" w:themeColor="text1"/>
          <w:sz w:val="28"/>
          <w:szCs w:val="28"/>
        </w:rPr>
      </w:pPr>
      <w:r>
        <w:rPr>
          <w:color w:val="000000" w:themeColor="text1"/>
          <w:sz w:val="28"/>
          <w:szCs w:val="28"/>
        </w:rPr>
        <w:tab/>
      </w:r>
      <w:r>
        <w:rPr>
          <w:b/>
          <w:color w:val="000000" w:themeColor="text1"/>
          <w:sz w:val="28"/>
          <w:szCs w:val="28"/>
        </w:rPr>
        <w:t>1. Về đăng ký kinh doanh</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Tính đến tháng 9/2022, toàn tỉnh có khoảng 8.589 doanh nghiệp đang hoạt động.</w:t>
      </w:r>
    </w:p>
    <w:p>
      <w:pPr>
        <w:spacing w:before="120" w:after="120"/>
        <w:jc w:val="both"/>
        <w:rPr>
          <w:b/>
          <w:i/>
          <w:color w:val="000000" w:themeColor="text1"/>
          <w:sz w:val="28"/>
          <w:szCs w:val="28"/>
        </w:rPr>
      </w:pPr>
      <w:r>
        <w:rPr>
          <w:color w:val="000000" w:themeColor="text1"/>
          <w:sz w:val="28"/>
          <w:szCs w:val="28"/>
        </w:rPr>
        <w:tab/>
      </w:r>
      <w:r>
        <w:rPr>
          <w:b/>
          <w:i/>
          <w:color w:val="000000" w:themeColor="text1"/>
          <w:sz w:val="28"/>
          <w:szCs w:val="28"/>
        </w:rPr>
        <w:t>a. Về số lượng doanh nghiệp đăng ký thành lập mới so với cùng kỳ năm 2021</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Giảm 25% số lượng doanh nghiệp đăng ký thành lập mới (trong tháng 9 có 69 doanh nghiệp thành lập mới, lũy kế 9 tháng đầu năm 2022 có 984 doanh nghiệp thành lập mới).</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Giảm 56,61% về vốn đăng ký (trong tháng 9 nguồn vốn đăng ký mới là 309,95 tỷ đồng, lũy kế 9 tháng đầu năm 2022 vốn đăng ký là 6.109,56 tỷ đồng).</w:t>
      </w:r>
    </w:p>
    <w:p>
      <w:pPr>
        <w:spacing w:before="120" w:after="120"/>
        <w:jc w:val="both"/>
        <w:rPr>
          <w:b/>
          <w:i/>
          <w:color w:val="000000" w:themeColor="text1"/>
          <w:sz w:val="28"/>
          <w:szCs w:val="28"/>
        </w:rPr>
      </w:pPr>
      <w:r>
        <w:rPr>
          <w:color w:val="000000" w:themeColor="text1"/>
          <w:sz w:val="28"/>
          <w:szCs w:val="28"/>
        </w:rPr>
        <w:tab/>
      </w:r>
      <w:r>
        <w:rPr>
          <w:b/>
          <w:i/>
          <w:color w:val="000000" w:themeColor="text1"/>
          <w:sz w:val="28"/>
          <w:szCs w:val="28"/>
        </w:rPr>
        <w:t>b. Về số lượng doanh nghiệp rút lui khỏi thị trường so với cùng kỳ năm 2021</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Tăng 20% về số lượng doanh nghiệp đăng ký tạm ngừng kinh doanh có thời hạn (trong tháng 9 có 24 doanh nghiệp tạm ngừng kinh doanh; lũy kế 9 tháng đầu năm 2022 có 766 doanh nghiệp tạm ngừng).</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-Tăng 6,25% về số lượng doanh nghiệp hoàn tất thủ tục giải thể (trong tháng 9 có 17 doanh nghiệp giải thể; lũy kế 9 tháng đầu năm 2022 có 170 doanh nghiệp giải thể).</w:t>
      </w:r>
    </w:p>
    <w:p>
      <w:pPr>
        <w:spacing w:before="120" w:after="120"/>
        <w:jc w:val="both"/>
        <w:rPr>
          <w:color w:val="000000" w:themeColor="text1"/>
          <w:sz w:val="28"/>
          <w:szCs w:val="28"/>
        </w:rPr>
      </w:pPr>
      <w:r>
        <w:rPr>
          <w:color w:val="000000" w:themeColor="text1"/>
          <w:sz w:val="28"/>
          <w:szCs w:val="28"/>
        </w:rPr>
        <w:tab/>
      </w:r>
      <w:r>
        <w:rPr>
          <w:b/>
          <w:color w:val="000000" w:themeColor="text1"/>
          <w:sz w:val="28"/>
          <w:szCs w:val="28"/>
        </w:rPr>
        <w:t>2. Về đầu tư trong nước và đầu tư nước ngoài</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Tỉnh Quảng Nam hiện có 964 dự án đầu tư trong nước với tổng vốn đăng ký là 242.176,1 tỷ đồng; 194 dự án FDI còn hiệu lực với tổng vốn đăng ký hơn 6 tỷ USD.</w:t>
      </w:r>
    </w:p>
    <w:p>
      <w:pPr>
        <w:spacing w:before="120" w:after="120"/>
        <w:jc w:val="both"/>
        <w:rPr>
          <w:b/>
          <w:i/>
          <w:color w:val="000000" w:themeColor="text1"/>
          <w:sz w:val="28"/>
          <w:szCs w:val="28"/>
        </w:rPr>
      </w:pPr>
      <w:r>
        <w:rPr>
          <w:i/>
          <w:color w:val="000000" w:themeColor="text1"/>
          <w:sz w:val="28"/>
          <w:szCs w:val="28"/>
        </w:rPr>
        <w:tab/>
      </w:r>
      <w:r>
        <w:rPr>
          <w:b/>
          <w:i/>
          <w:color w:val="000000" w:themeColor="text1"/>
          <w:sz w:val="28"/>
          <w:szCs w:val="28"/>
        </w:rPr>
        <w:t>a. Về đầu tư trong nước so với cùng kỳ năm 2021</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Trong tháng 9 có 04 dự án được cấp phép mới, lũy kế trong 9 tháng đầu năm 2022 có 51 dự án cấp phép mới; trong đó Khu kinh tế mở Chu Lai có 01 dự án cấp phép mới, lũy kế trong 9 tháng đầu năm 2022 có 06 dự án cấp phép mới.</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Trong tháng 9 vốn đăng ký mới là 903,08 tỷ đồng, lũy kế trong 9 tháng đầu năm 2022 vốn đăng ký là 8.368,98 tỷ đồng, trong đó Khu kinh tế mở Chu Lai là 35 tỷ đồng, lũy kế trong 9 tháng đầu năm 2022 là 3.163 tỷ đồng.</w:t>
      </w:r>
    </w:p>
    <w:p>
      <w:pPr>
        <w:spacing w:before="120" w:after="120"/>
        <w:ind w:firstLine="720"/>
        <w:jc w:val="both"/>
        <w:rPr>
          <w:color w:val="000000" w:themeColor="text1"/>
          <w:sz w:val="28"/>
          <w:szCs w:val="28"/>
        </w:rPr>
      </w:pPr>
      <w:r>
        <w:rPr>
          <w:color w:val="000000" w:themeColor="text1"/>
          <w:sz w:val="28"/>
          <w:szCs w:val="28"/>
        </w:rPr>
        <w:t>- Tính đến hết tháng 9/2022 có 05 dự án điều chỉnh tăng vốn với số vốn tăng là 535,993 tỷ đồng.</w:t>
      </w:r>
    </w:p>
    <w:p>
      <w:pPr>
        <w:spacing w:before="120" w:after="120"/>
        <w:jc w:val="both"/>
        <w:rPr>
          <w:b/>
          <w:i/>
          <w:color w:val="000000" w:themeColor="text1"/>
          <w:sz w:val="28"/>
          <w:szCs w:val="28"/>
        </w:rPr>
      </w:pPr>
      <w:r>
        <w:rPr>
          <w:color w:val="000000" w:themeColor="text1"/>
          <w:sz w:val="28"/>
          <w:szCs w:val="28"/>
        </w:rPr>
        <w:tab/>
      </w:r>
      <w:r>
        <w:rPr>
          <w:b/>
          <w:i/>
          <w:color w:val="000000" w:themeColor="text1"/>
          <w:sz w:val="28"/>
          <w:szCs w:val="28"/>
        </w:rPr>
        <w:t>b. Về đầu tư nước ngoài (FDI) so với cùng kỳ năm 2021</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Trong tháng 9 không có dự án cấp phép mới, lũy kế trong 9 tháng đầu năm 2022 có 04 dự án cấp phép mới, trong đó Khu kinh tế mở Chu Lai lũy kế trong 9 tháng đầu năm 2022 có 03 dự án cấp phép mới.</w:t>
      </w:r>
    </w:p>
    <w:p>
      <w:pPr>
        <w:spacing w:before="120" w:after="120"/>
        <w:ind w:firstLine="720"/>
        <w:jc w:val="both"/>
        <w:rPr>
          <w:color w:val="000000" w:themeColor="text1"/>
          <w:sz w:val="28"/>
          <w:szCs w:val="28"/>
        </w:rPr>
      </w:pPr>
      <w:r>
        <w:rPr>
          <w:color w:val="000000" w:themeColor="text1"/>
          <w:sz w:val="28"/>
          <w:szCs w:val="28"/>
        </w:rPr>
        <w:t>- Trong tháng 9 không phát sinh nguồn vốn đăng ký mới, lũy kế trong 9 tháng đầu năm 2022 vốn đăng ký là 28,94 triệu USD; trong đó Khu kinh tế mở Chu Lai là 19,943 triệu USD).</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Tính đến hết tháng 9/2022 có 06 dự án điều chỉnh tăng vốn với số vốn tăng 203 triệu USD.</w:t>
      </w:r>
    </w:p>
    <w:p>
      <w:pPr>
        <w:spacing w:before="120" w:after="120"/>
        <w:jc w:val="both"/>
        <w:rPr>
          <w:b/>
          <w:color w:val="000000" w:themeColor="text1"/>
          <w:sz w:val="28"/>
          <w:szCs w:val="28"/>
        </w:rPr>
      </w:pPr>
      <w:r>
        <w:rPr>
          <w:color w:val="000000" w:themeColor="text1"/>
          <w:sz w:val="28"/>
          <w:szCs w:val="28"/>
        </w:rPr>
        <w:tab/>
      </w:r>
      <w:r>
        <w:rPr>
          <w:b/>
          <w:color w:val="000000" w:themeColor="text1"/>
          <w:sz w:val="28"/>
          <w:szCs w:val="28"/>
        </w:rPr>
        <w:t>3. Về thu ngân sách nhà nước từ hoạt động của DN</w:t>
      </w:r>
    </w:p>
    <w:p>
      <w:pPr>
        <w:spacing w:before="120" w:after="120"/>
        <w:jc w:val="both"/>
        <w:rPr>
          <w:b/>
          <w:i/>
          <w:color w:val="000000" w:themeColor="text1"/>
          <w:sz w:val="28"/>
          <w:szCs w:val="28"/>
        </w:rPr>
      </w:pPr>
      <w:r>
        <w:rPr>
          <w:color w:val="000000" w:themeColor="text1"/>
          <w:sz w:val="28"/>
          <w:szCs w:val="28"/>
        </w:rPr>
        <w:tab/>
      </w:r>
      <w:r>
        <w:rPr>
          <w:b/>
          <w:i/>
          <w:color w:val="000000" w:themeColor="text1"/>
          <w:sz w:val="28"/>
          <w:szCs w:val="28"/>
        </w:rPr>
        <w:t>a. Thu từ doanh nghiệp ngoài quốc doanh so với cùng kỳ năm 2021</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Tăng 50,84% so với cùng kỳ năm 2021 (thu trong tháng 9/2022 là 168,94 tỷ đồng, lũy kế trong 9 tháng đầu năm 2022 thu 11.737,81 tỷ đồng).</w:t>
      </w:r>
    </w:p>
    <w:p>
      <w:pPr>
        <w:spacing w:before="120" w:after="120"/>
        <w:jc w:val="both"/>
        <w:rPr>
          <w:i/>
          <w:color w:val="000000" w:themeColor="text1"/>
          <w:sz w:val="28"/>
          <w:szCs w:val="28"/>
        </w:rPr>
      </w:pPr>
      <w:r>
        <w:rPr>
          <w:color w:val="000000" w:themeColor="text1"/>
          <w:sz w:val="28"/>
          <w:szCs w:val="28"/>
        </w:rPr>
        <w:tab/>
      </w:r>
      <w:r>
        <w:rPr>
          <w:i/>
          <w:color w:val="000000" w:themeColor="text1"/>
          <w:sz w:val="28"/>
          <w:szCs w:val="28"/>
        </w:rPr>
        <w:t>* Do tình hình dịch bệnh được kiểm soát, hoạt động sản xuất kinh doanh hồi phục. Các chính sách hỗ trợ của Chính phủ đã và đang phát huy tác dụng tốt, các doanh nghiệp có sự tăng tốc hoạt động sản xuất kinh doanh.</w:t>
      </w:r>
    </w:p>
    <w:p>
      <w:pPr>
        <w:spacing w:before="120" w:after="120"/>
        <w:jc w:val="both"/>
        <w:rPr>
          <w:b/>
          <w:i/>
          <w:color w:val="000000" w:themeColor="text1"/>
          <w:sz w:val="28"/>
          <w:szCs w:val="28"/>
        </w:rPr>
      </w:pPr>
      <w:r>
        <w:rPr>
          <w:color w:val="000000" w:themeColor="text1"/>
          <w:sz w:val="28"/>
          <w:szCs w:val="28"/>
        </w:rPr>
        <w:tab/>
      </w:r>
      <w:r>
        <w:rPr>
          <w:b/>
          <w:i/>
          <w:color w:val="000000" w:themeColor="text1"/>
          <w:sz w:val="28"/>
          <w:szCs w:val="28"/>
        </w:rPr>
        <w:t>b. Thu từ doanh nghiệp FDI so với cùng kỳ năm 2021</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Giảm 7,22% so với cùng kỳ năm 2021 (thu trong tháng 9/2022 là 86,81tỷ đồng, lũy kế trong 9 tháng đầu năm 2022 thu 860,17tỷ đồng).</w:t>
      </w:r>
    </w:p>
    <w:p>
      <w:pPr>
        <w:spacing w:before="120" w:after="120"/>
        <w:jc w:val="both"/>
        <w:rPr>
          <w:b/>
          <w:i/>
          <w:color w:val="000000" w:themeColor="text1"/>
          <w:sz w:val="28"/>
          <w:szCs w:val="28"/>
        </w:rPr>
      </w:pPr>
      <w:r>
        <w:rPr>
          <w:color w:val="000000" w:themeColor="text1"/>
          <w:sz w:val="28"/>
          <w:szCs w:val="28"/>
        </w:rPr>
        <w:tab/>
      </w:r>
      <w:r>
        <w:rPr>
          <w:b/>
          <w:i/>
          <w:color w:val="000000" w:themeColor="text1"/>
          <w:sz w:val="28"/>
          <w:szCs w:val="28"/>
        </w:rPr>
        <w:t>c. Thu từ doanh nghiệp nhà nước (DNNN) so với cùng kỳ năm 2021</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xml:space="preserve">- Đối với DNNN Trung ương: Tăng 46,66% so với cùng kỳ năm 2021 (thu trong tháng 9/2022 là 73,11 tỷ đồng, lũy kế trong 9 tháng đầu năm 2022 thu 655,54 tỷ đồng). </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Đối với DNNN địa phương: Giảm 47,89% so với cùng kỳ năm 2021 (thu trong tháng 9/2022 là 6,18 tỷ đồng, lũy kế trong 9 tháng đầu năm 2022 thu 57,48 tỷ đồng).</w:t>
      </w:r>
    </w:p>
    <w:p>
      <w:pPr>
        <w:spacing w:before="120" w:after="120"/>
        <w:jc w:val="both"/>
        <w:rPr>
          <w:color w:val="000000" w:themeColor="text1"/>
          <w:sz w:val="28"/>
          <w:szCs w:val="28"/>
        </w:rPr>
      </w:pPr>
      <w:r>
        <w:rPr>
          <w:color w:val="000000" w:themeColor="text1"/>
          <w:sz w:val="28"/>
          <w:szCs w:val="28"/>
        </w:rPr>
        <w:tab/>
      </w:r>
      <w:r>
        <w:rPr>
          <w:b/>
          <w:i/>
          <w:color w:val="000000" w:themeColor="text1"/>
          <w:sz w:val="28"/>
          <w:szCs w:val="28"/>
        </w:rPr>
        <w:t>d. Tình hình nợ thuế so với cùng kỳ năm 2021</w:t>
      </w:r>
    </w:p>
    <w:p>
      <w:pPr>
        <w:spacing w:before="120" w:after="120"/>
        <w:ind w:firstLine="720"/>
        <w:jc w:val="both"/>
        <w:rPr>
          <w:color w:val="000000" w:themeColor="text1"/>
          <w:sz w:val="28"/>
          <w:szCs w:val="28"/>
        </w:rPr>
      </w:pPr>
      <w:r>
        <w:rPr>
          <w:color w:val="000000" w:themeColor="text1"/>
          <w:sz w:val="28"/>
          <w:szCs w:val="28"/>
        </w:rPr>
        <w:t xml:space="preserve">Giảm 29,58% so với cùng kỳ năm 2021 (nợ thuế phát sinh trong tháng 9 là 303,8 tỷ đồng; lũy kế tiền thuế nợ chốt đến tháng 9/2022 là 1.411,6 tỷ đồng), trong đó: </w:t>
      </w:r>
    </w:p>
    <w:p>
      <w:pPr>
        <w:spacing w:before="120" w:after="120"/>
        <w:ind w:firstLine="720"/>
        <w:jc w:val="both"/>
        <w:rPr>
          <w:color w:val="000000" w:themeColor="text1"/>
          <w:sz w:val="28"/>
          <w:szCs w:val="28"/>
        </w:rPr>
      </w:pPr>
      <w:r>
        <w:rPr>
          <w:color w:val="000000" w:themeColor="text1"/>
          <w:sz w:val="28"/>
          <w:szCs w:val="28"/>
        </w:rPr>
        <w:t xml:space="preserve">- Tiền thuế nợ có khả năng thu trong tháng 9/2022 là 303,8 tỷ đồng, lũy kế đến tháng 9/2022 là </w:t>
      </w:r>
      <w:r>
        <w:rPr>
          <w:color w:val="000000" w:themeColor="text1"/>
          <w:sz w:val="28"/>
          <w:szCs w:val="28"/>
          <w:shd w:val="clear" w:color="auto" w:fill="FFFFFF"/>
        </w:rPr>
        <w:t xml:space="preserve">1.343,8 </w:t>
      </w:r>
      <w:r>
        <w:rPr>
          <w:color w:val="000000" w:themeColor="text1"/>
          <w:sz w:val="28"/>
          <w:szCs w:val="28"/>
        </w:rPr>
        <w:t>tỷ đồng, giảm 25,08% so cùng kỳ.</w:t>
      </w:r>
    </w:p>
    <w:p>
      <w:pPr>
        <w:spacing w:before="120" w:after="120"/>
        <w:ind w:firstLine="720"/>
        <w:jc w:val="both"/>
        <w:rPr>
          <w:color w:val="000000" w:themeColor="text1"/>
          <w:sz w:val="28"/>
          <w:szCs w:val="28"/>
        </w:rPr>
      </w:pPr>
      <w:r>
        <w:rPr>
          <w:color w:val="000000" w:themeColor="text1"/>
          <w:sz w:val="28"/>
          <w:szCs w:val="28"/>
        </w:rPr>
        <w:t xml:space="preserve">- Tiền thuế nợ đang xử lý trong tháng 9/2022 không phát sinh, lũy kế đến  tháng 9/2022 là 8,29 tỷ đồng, tăng 127,12% so với cùng kỳ. </w:t>
      </w:r>
    </w:p>
    <w:p>
      <w:pPr>
        <w:spacing w:before="120" w:after="120"/>
        <w:ind w:firstLine="720"/>
        <w:jc w:val="both"/>
        <w:rPr>
          <w:color w:val="000000" w:themeColor="text1"/>
          <w:sz w:val="28"/>
          <w:szCs w:val="28"/>
        </w:rPr>
      </w:pPr>
      <w:r>
        <w:rPr>
          <w:color w:val="000000" w:themeColor="text1"/>
          <w:sz w:val="28"/>
          <w:szCs w:val="28"/>
        </w:rPr>
        <w:t>- Tiền thuế nợ khó thu trong tháng 9/2022 không phát sinh, lũy kế đến tháng 9/2022 là 59,5tỷ đồng, giảm 71,29% so với cùng kỳ.</w:t>
      </w:r>
    </w:p>
    <w:p>
      <w:pPr>
        <w:spacing w:before="120" w:after="120"/>
        <w:ind w:firstLine="720"/>
        <w:jc w:val="both"/>
        <w:rPr>
          <w:b/>
          <w:color w:val="000000" w:themeColor="text1"/>
          <w:sz w:val="28"/>
          <w:szCs w:val="28"/>
        </w:rPr>
      </w:pPr>
      <w:r>
        <w:rPr>
          <w:b/>
          <w:color w:val="000000" w:themeColor="text1"/>
          <w:sz w:val="28"/>
          <w:szCs w:val="28"/>
        </w:rPr>
        <w:t>4. Về xuất nhập khẩu so với cùng kỳ năm 2021</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Tăng 32,16% về kim ngạch xuất khẩu (trong tháng 9 đạt 146,41 triệu USD, lũy kế trong 9 tháng đầu năm 2022 đạt 1.516,27 triệu USD).</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Tăng 44,47% về kim ngạch nhập khẩu (trong tháng 9 đạt 205,77 triệu USD, lũy kế trong 9 tháng đầu năm 2022 đạt 2.276,81 triệu USD).</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Tăng 117,26% về số thu thuế hoạt động xuất nhập khẩu (trong tháng 9 thu 611,41 tỷ đồng, lũy kế trong 9 tháng đầu năm 2022 thu 5.554,39 tỷ đồng).</w:t>
      </w:r>
    </w:p>
    <w:p>
      <w:pPr>
        <w:spacing w:before="120" w:after="120"/>
        <w:jc w:val="both"/>
        <w:rPr>
          <w:i/>
          <w:color w:val="000000" w:themeColor="text1"/>
          <w:sz w:val="28"/>
          <w:szCs w:val="28"/>
        </w:rPr>
      </w:pPr>
      <w:r>
        <w:rPr>
          <w:color w:val="000000" w:themeColor="text1"/>
          <w:sz w:val="28"/>
          <w:szCs w:val="28"/>
        </w:rPr>
        <w:tab/>
      </w:r>
      <w:r>
        <w:rPr>
          <w:i/>
          <w:color w:val="000000" w:themeColor="text1"/>
          <w:sz w:val="28"/>
          <w:szCs w:val="28"/>
        </w:rPr>
        <w:t xml:space="preserve">* </w:t>
      </w:r>
      <w:r>
        <w:rPr>
          <w:i/>
          <w:color w:val="000000" w:themeColor="text1"/>
          <w:sz w:val="28"/>
          <w:szCs w:val="28"/>
          <w:shd w:val="clear" w:color="auto" w:fill="FFFFFF"/>
        </w:rPr>
        <w:t>Số thu tăng chủ yếu từ các mặt hàng linh kiện, bộ linh kiện ô tô của Trường Hải, do cả nước đã thích ứng an toàn với dịch Covid-19 và dần trở lại trạng thái bình thường mới và chính sách giảm 50% lệ phí trước bạ cho xe sản xuất trong nước đến hết 31/5/2022 khiến nhu cầu tiêu thụ xe ô tô tăng cao.</w:t>
      </w:r>
    </w:p>
    <w:p>
      <w:pPr>
        <w:spacing w:before="120" w:after="120"/>
        <w:jc w:val="both"/>
        <w:rPr>
          <w:b/>
          <w:color w:val="000000" w:themeColor="text1"/>
          <w:sz w:val="28"/>
          <w:szCs w:val="28"/>
        </w:rPr>
      </w:pPr>
      <w:r>
        <w:rPr>
          <w:color w:val="000000" w:themeColor="text1"/>
          <w:sz w:val="28"/>
          <w:szCs w:val="28"/>
        </w:rPr>
        <w:tab/>
      </w:r>
      <w:r>
        <w:rPr>
          <w:b/>
          <w:color w:val="000000" w:themeColor="text1"/>
          <w:sz w:val="28"/>
          <w:szCs w:val="28"/>
        </w:rPr>
        <w:t>5. Về lao động</w:t>
      </w:r>
      <w:r>
        <w:rPr>
          <w:rFonts w:hint="default"/>
          <w:b/>
          <w:color w:val="000000" w:themeColor="text1"/>
          <w:sz w:val="28"/>
          <w:szCs w:val="28"/>
          <w:lang w:val="en-US"/>
        </w:rPr>
        <w:t xml:space="preserve"> </w:t>
      </w:r>
      <w:bookmarkStart w:id="0" w:name="_GoBack"/>
      <w:bookmarkEnd w:id="0"/>
      <w:r>
        <w:rPr>
          <w:b/>
          <w:color w:val="000000" w:themeColor="text1"/>
          <w:sz w:val="28"/>
          <w:szCs w:val="28"/>
        </w:rPr>
        <w:t>so với cùng kỳ năm 2021</w:t>
      </w:r>
    </w:p>
    <w:p>
      <w:pPr>
        <w:spacing w:before="120" w:after="120"/>
        <w:jc w:val="both"/>
        <w:rPr>
          <w:i/>
          <w:color w:val="000000" w:themeColor="text1"/>
          <w:sz w:val="28"/>
          <w:szCs w:val="28"/>
        </w:rPr>
      </w:pPr>
      <w:r>
        <w:rPr>
          <w:color w:val="000000" w:themeColor="text1"/>
          <w:sz w:val="28"/>
          <w:szCs w:val="28"/>
        </w:rPr>
        <w:tab/>
      </w:r>
      <w:r>
        <w:rPr>
          <w:color w:val="000000" w:themeColor="text1"/>
          <w:sz w:val="28"/>
          <w:szCs w:val="28"/>
        </w:rPr>
        <w:t>- Tính đến tháng 9/2022 số lao động làm việc trong khu vực chính thức là khoảng 265.000 người</w:t>
      </w:r>
      <w:r>
        <w:rPr>
          <w:i/>
          <w:color w:val="000000" w:themeColor="text1"/>
          <w:sz w:val="28"/>
          <w:szCs w:val="28"/>
        </w:rPr>
        <w:t xml:space="preserve"> (Số so sánh cùng kỳ năm 2021 không có báo cáo cụ thể).</w:t>
      </w:r>
    </w:p>
    <w:p>
      <w:pPr>
        <w:spacing w:before="120" w:after="120"/>
        <w:ind w:firstLine="720"/>
        <w:jc w:val="both"/>
        <w:rPr>
          <w:i/>
          <w:color w:val="000000" w:themeColor="text1"/>
          <w:sz w:val="28"/>
          <w:szCs w:val="28"/>
        </w:rPr>
      </w:pPr>
      <w:r>
        <w:rPr>
          <w:color w:val="000000" w:themeColor="text1"/>
          <w:sz w:val="28"/>
          <w:szCs w:val="28"/>
        </w:rPr>
        <w:t xml:space="preserve">- Tháng 9/2022 số lao động đề nghị hưởng bảo hiểm thất nghiệp là 1.576 người, lũy kế đến tháng 9/2022 là 9.175 người </w:t>
      </w:r>
      <w:r>
        <w:rPr>
          <w:i/>
          <w:color w:val="000000" w:themeColor="text1"/>
          <w:sz w:val="28"/>
          <w:szCs w:val="28"/>
        </w:rPr>
        <w:t>(Số so sánh cùng kỳ năm 2021 không có báo cáo cụ thể).</w:t>
      </w:r>
    </w:p>
    <w:p>
      <w:pPr>
        <w:spacing w:before="120" w:after="120"/>
        <w:ind w:firstLine="720"/>
        <w:jc w:val="both"/>
        <w:rPr>
          <w:b/>
          <w:color w:val="000000" w:themeColor="text1"/>
          <w:sz w:val="28"/>
          <w:szCs w:val="28"/>
        </w:rPr>
      </w:pPr>
      <w:r>
        <w:rPr>
          <w:b/>
          <w:color w:val="000000" w:themeColor="text1"/>
          <w:sz w:val="28"/>
          <w:szCs w:val="28"/>
        </w:rPr>
        <w:t>6. Về tín dụng so với cùng kỳ năm 2021</w:t>
      </w:r>
    </w:p>
    <w:p>
      <w:pPr>
        <w:spacing w:before="120" w:after="120"/>
        <w:jc w:val="both"/>
        <w:rPr>
          <w:b/>
          <w:bCs/>
          <w:sz w:val="26"/>
          <w:szCs w:val="26"/>
        </w:rPr>
      </w:pPr>
      <w:r>
        <w:rPr>
          <w:color w:val="000000" w:themeColor="text1"/>
          <w:sz w:val="28"/>
          <w:szCs w:val="28"/>
        </w:rPr>
        <w:tab/>
      </w:r>
      <w:r>
        <w:rPr>
          <w:color w:val="000000" w:themeColor="text1"/>
          <w:sz w:val="28"/>
          <w:szCs w:val="28"/>
        </w:rPr>
        <w:t xml:space="preserve">- Trong tháng 9/2022, dư nợ cho vay trên địa bàn tỉnh là 17.236,85 tỷ đồng; luỹ kế từ đầu năm đến tháng 9/2022 là </w:t>
      </w:r>
      <w:r>
        <w:rPr>
          <w:bCs/>
          <w:sz w:val="28"/>
          <w:szCs w:val="28"/>
        </w:rPr>
        <w:t xml:space="preserve">121.252,04 </w:t>
      </w:r>
      <w:r>
        <w:rPr>
          <w:bCs/>
          <w:sz w:val="26"/>
          <w:szCs w:val="26"/>
        </w:rPr>
        <w:t xml:space="preserve">tỷ đồng (tăng 14,86% so với cùng kỳ năm 2021); </w:t>
      </w:r>
      <w:r>
        <w:rPr>
          <w:color w:val="000000" w:themeColor="text1"/>
          <w:sz w:val="28"/>
          <w:szCs w:val="28"/>
        </w:rPr>
        <w:t xml:space="preserve">tổng dư nợ luỹ kế từ các kỳ trước đến nay là </w:t>
      </w:r>
      <w:r>
        <w:rPr>
          <w:color w:val="000000" w:themeColor="text1"/>
          <w:sz w:val="28"/>
          <w:szCs w:val="28"/>
          <w:shd w:val="clear" w:color="auto" w:fill="FFFFFF"/>
        </w:rPr>
        <w:t xml:space="preserve">91.039,07 </w:t>
      </w:r>
      <w:r>
        <w:rPr>
          <w:color w:val="000000" w:themeColor="text1"/>
          <w:sz w:val="28"/>
          <w:szCs w:val="28"/>
        </w:rPr>
        <w:t>tỷ đồng. Trong đó, dư nợ chủ yếu là Hộ kinh doanh, cá nhân (53.727,96 tỷ đồng), Công ty TNHH (24.602,9 tỷ đồng), Công ty cổ phần (10.280,75 tỷ đồng).</w:t>
      </w:r>
    </w:p>
    <w:p>
      <w:pPr>
        <w:widowControl w:val="0"/>
        <w:spacing w:before="120" w:after="120"/>
        <w:ind w:firstLine="567"/>
        <w:jc w:val="both"/>
        <w:rPr>
          <w:color w:val="000000" w:themeColor="text1"/>
          <w:sz w:val="28"/>
          <w:szCs w:val="28"/>
        </w:rPr>
      </w:pPr>
      <w:r>
        <w:rPr>
          <w:color w:val="000000" w:themeColor="text1"/>
          <w:sz w:val="28"/>
          <w:szCs w:val="28"/>
        </w:rPr>
        <w:t xml:space="preserve">-Trong tháng 9/2022 số lượng doanh nghiệp đang có dư nợ tín dụng với ngân hàng là 71 doanh nghiệp với tổng dư nợ phát sinh tháng 9/2022 là 8.611,41 tỷ đồng; lũy kế từ đầu năm đến tháng 9/2022 là 752 doanh nghiệp (giảm 0,29% so với cùng kỳ năm 2021) với tổng dư nợ là 49.297,13 tỷ đồng (tăng 8,26% so với cùng kỳ năm 2021); lũy kế từ các kỳ trước đến này là 2.765 doanh nghiệp với tổng dư nợ là 37.169,71 tỷ đồng.  </w:t>
      </w:r>
    </w:p>
    <w:p>
      <w:pPr>
        <w:widowControl w:val="0"/>
        <w:spacing w:before="120" w:after="120"/>
        <w:ind w:firstLine="567"/>
        <w:jc w:val="both"/>
        <w:rPr>
          <w:color w:val="000000" w:themeColor="text1"/>
          <w:sz w:val="28"/>
          <w:szCs w:val="28"/>
        </w:rPr>
      </w:pPr>
      <w:r>
        <w:rPr>
          <w:color w:val="000000" w:themeColor="text1"/>
          <w:sz w:val="28"/>
          <w:szCs w:val="28"/>
        </w:rPr>
        <w:t>- Tính đến hết tháng 9/2022, trên địa bàn tỉnh có 47 doanh nghiệp có nợ xấu (tăng 12,73% so với cùng kỳ năm 2021) với tổng nợ xấu là 252,24 tỷ đồng (giảm 55,28% so với cùng kỳ năm 2021).</w:t>
      </w:r>
    </w:p>
    <w:p>
      <w:pPr>
        <w:spacing w:before="120" w:after="120"/>
        <w:ind w:firstLine="720"/>
        <w:jc w:val="both"/>
        <w:rPr>
          <w:b/>
          <w:color w:val="000000" w:themeColor="text1"/>
          <w:sz w:val="28"/>
          <w:szCs w:val="28"/>
        </w:rPr>
      </w:pPr>
      <w:r>
        <w:rPr>
          <w:b/>
          <w:color w:val="000000" w:themeColor="text1"/>
          <w:sz w:val="28"/>
          <w:szCs w:val="28"/>
        </w:rPr>
        <w:t>7. “Sức khỏe của doanh nghiệp” trong một số lĩnh vực cụ thể</w:t>
      </w:r>
    </w:p>
    <w:p>
      <w:pPr>
        <w:spacing w:before="120" w:after="120"/>
        <w:ind w:firstLine="720"/>
        <w:jc w:val="both"/>
        <w:rPr>
          <w:b/>
          <w:i/>
          <w:color w:val="000000" w:themeColor="text1"/>
          <w:sz w:val="28"/>
          <w:szCs w:val="28"/>
        </w:rPr>
      </w:pPr>
      <w:r>
        <w:rPr>
          <w:b/>
          <w:i/>
          <w:color w:val="000000" w:themeColor="text1"/>
          <w:sz w:val="28"/>
          <w:szCs w:val="28"/>
        </w:rPr>
        <w:t>a. Đối với lĩnh vực công nghiệp, tiểu thủ công nghiệp</w:t>
      </w:r>
    </w:p>
    <w:p>
      <w:pPr>
        <w:spacing w:before="120" w:after="120"/>
        <w:ind w:firstLine="720"/>
        <w:jc w:val="both"/>
        <w:rPr>
          <w:i/>
          <w:color w:val="000000" w:themeColor="text1"/>
          <w:sz w:val="28"/>
          <w:szCs w:val="28"/>
        </w:rPr>
      </w:pPr>
      <w:r>
        <w:rPr>
          <w:color w:val="000000" w:themeColor="text1"/>
          <w:sz w:val="28"/>
          <w:szCs w:val="28"/>
        </w:rPr>
        <w:t xml:space="preserve">Từ đầu năm đến tháng 9/2022 có 392 doanh nghiệp công nghiệp, tiểu thủ công nghiệp thành lập mới với số vốn đăng ký là 2.890 tỷ đồng, số lượng lao động là 3.500 người </w:t>
      </w:r>
      <w:r>
        <w:rPr>
          <w:i/>
          <w:color w:val="000000" w:themeColor="text1"/>
          <w:sz w:val="28"/>
          <w:szCs w:val="28"/>
        </w:rPr>
        <w:t>(Các số liệu khác không có báo cáo cụ thể).</w:t>
      </w:r>
    </w:p>
    <w:p>
      <w:pPr>
        <w:spacing w:before="120" w:after="120"/>
        <w:ind w:firstLine="720"/>
        <w:jc w:val="both"/>
        <w:rPr>
          <w:b/>
          <w:i/>
          <w:color w:val="000000" w:themeColor="text1"/>
          <w:sz w:val="28"/>
          <w:szCs w:val="28"/>
        </w:rPr>
      </w:pPr>
    </w:p>
    <w:p>
      <w:pPr>
        <w:spacing w:before="120" w:after="120"/>
        <w:ind w:firstLine="720"/>
        <w:jc w:val="both"/>
        <w:rPr>
          <w:b/>
          <w:i/>
          <w:color w:val="000000" w:themeColor="text1"/>
          <w:sz w:val="28"/>
          <w:szCs w:val="28"/>
        </w:rPr>
      </w:pPr>
    </w:p>
    <w:p>
      <w:pPr>
        <w:spacing w:before="120" w:after="120"/>
        <w:ind w:firstLine="720"/>
        <w:jc w:val="both"/>
        <w:rPr>
          <w:b/>
          <w:i/>
          <w:color w:val="000000" w:themeColor="text1"/>
          <w:sz w:val="28"/>
          <w:szCs w:val="28"/>
        </w:rPr>
      </w:pPr>
      <w:r>
        <w:rPr>
          <w:b/>
          <w:i/>
          <w:color w:val="000000" w:themeColor="text1"/>
          <w:sz w:val="28"/>
          <w:szCs w:val="28"/>
        </w:rPr>
        <w:t>b. Đối với lĩnh vực du lịch</w:t>
      </w:r>
    </w:p>
    <w:p>
      <w:pPr>
        <w:spacing w:before="120" w:after="120"/>
        <w:ind w:firstLine="720"/>
        <w:jc w:val="both"/>
        <w:rPr>
          <w:b/>
          <w:i/>
          <w:color w:val="000000" w:themeColor="text1"/>
          <w:sz w:val="28"/>
          <w:szCs w:val="28"/>
        </w:rPr>
      </w:pPr>
      <w:r>
        <w:rPr>
          <w:color w:val="000000" w:themeColor="text1"/>
          <w:sz w:val="28"/>
          <w:szCs w:val="28"/>
        </w:rPr>
        <w:t>- Doanh thu du lịch trên địa bàn tỉnh trong tháng 9/2022 là 610 tỷ đồng, lũy kế trong 9 tháng đầu năm 2022 đạt 3.030 tỷ đồng, tăng 2.5% so với cùng  kỳ.</w:t>
      </w:r>
    </w:p>
    <w:p>
      <w:pPr>
        <w:spacing w:before="120" w:after="120"/>
        <w:ind w:firstLine="720"/>
        <w:jc w:val="both"/>
        <w:rPr>
          <w:color w:val="000000" w:themeColor="text1"/>
          <w:sz w:val="28"/>
          <w:szCs w:val="28"/>
        </w:rPr>
      </w:pPr>
      <w:r>
        <w:rPr>
          <w:color w:val="000000" w:themeColor="text1"/>
          <w:sz w:val="28"/>
          <w:szCs w:val="28"/>
        </w:rPr>
        <w:t>- Doanh thu dịch vụ lưu trú trong tháng 9/2022 là 520 tỷ đồng, lũy kế trong 9 tháng đầu năm 2022 đạt 2.575 tỷ đồng, tăng 2.38% so với cùng kỳ.</w:t>
      </w:r>
    </w:p>
    <w:p>
      <w:pPr>
        <w:spacing w:before="120" w:after="120"/>
        <w:ind w:firstLine="720"/>
        <w:jc w:val="both"/>
        <w:rPr>
          <w:color w:val="000000" w:themeColor="text1"/>
          <w:sz w:val="28"/>
          <w:szCs w:val="28"/>
        </w:rPr>
      </w:pPr>
      <w:r>
        <w:rPr>
          <w:color w:val="000000" w:themeColor="text1"/>
          <w:sz w:val="28"/>
          <w:szCs w:val="28"/>
        </w:rPr>
        <w:t>- Thu nhập xã hội từ du lịch trong tháng 9/2022 là 1.434 tỷ đồng, lũy kế trong 9 tháng đầu năm 2022 là 7.120 tỷ đồng, tăng 2.5% so với cùng kỳ.</w:t>
      </w:r>
    </w:p>
    <w:p>
      <w:pPr>
        <w:spacing w:before="120" w:after="120"/>
        <w:ind w:firstLine="720"/>
        <w:jc w:val="both"/>
        <w:rPr>
          <w:color w:val="000000" w:themeColor="text1"/>
          <w:sz w:val="28"/>
          <w:szCs w:val="28"/>
        </w:rPr>
      </w:pPr>
      <w:r>
        <w:rPr>
          <w:color w:val="000000" w:themeColor="text1"/>
          <w:sz w:val="28"/>
          <w:szCs w:val="28"/>
        </w:rPr>
        <w:t>- Tổng lượt khách tham quan, lưu trú trên địa bàn trong tháng 9/2022 là 672.000 lượt, lũy kế trong 9 tháng đầu năm 2022 đạt 3.786.500 lượt, tăng 1.160% so với cùng kỳ (trong đó, khách nội địa là 3.497.500 lượt, khách quốc tế là 289.000 lượt).</w:t>
      </w:r>
    </w:p>
    <w:p>
      <w:pPr>
        <w:spacing w:before="120" w:after="120"/>
        <w:rPr>
          <w:b/>
          <w:i/>
          <w:color w:val="000000" w:themeColor="text1"/>
          <w:sz w:val="28"/>
          <w:szCs w:val="28"/>
        </w:rPr>
      </w:pPr>
      <w:r>
        <w:rPr>
          <w:color w:val="000000" w:themeColor="text1"/>
          <w:sz w:val="28"/>
          <w:szCs w:val="28"/>
        </w:rPr>
        <w:tab/>
      </w:r>
      <w:r>
        <w:rPr>
          <w:b/>
          <w:i/>
          <w:color w:val="000000" w:themeColor="text1"/>
          <w:sz w:val="28"/>
          <w:szCs w:val="28"/>
        </w:rPr>
        <w:t>c. Đối với lĩnh vực thương mại, dịch vụ</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Đối với ngành kinh doanh xăng dầu và chợ:</w:t>
      </w:r>
    </w:p>
    <w:p>
      <w:pPr>
        <w:spacing w:before="120" w:after="120"/>
        <w:ind w:firstLine="720"/>
        <w:jc w:val="both"/>
        <w:rPr>
          <w:color w:val="000000" w:themeColor="text1"/>
          <w:sz w:val="28"/>
          <w:szCs w:val="28"/>
        </w:rPr>
      </w:pPr>
      <w:r>
        <w:rPr>
          <w:color w:val="000000" w:themeColor="text1"/>
          <w:sz w:val="28"/>
          <w:szCs w:val="28"/>
        </w:rPr>
        <w:t>+ Tính đến tháng 9/2022 số lượng doanh nghiệp thương mại - dịch vụ đang hoạt động là 356 doanh nghiệp, số lao động làm việc trong lĩnh vực thương mại - dịch vụ là 23.700 người.</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Trong tháng 9/2022 doanh thu bán lẻ hàng hóa là  4.158 tỷ đồng; lũy kế đến tháng 9/2022 là 40.416 tỷ đồng, tăng 12% so với cùng kỳ.</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Trong tháng 9/2022 doanh thu dịch vụ là 1.220 tỷ đồng; lũy kế đến tháng 9/2022 là 10.631 tỷ đồng, tăng 25% so với cùng kỳ.</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xml:space="preserve">- Đối với lĩnh vực thương mại - lịch vụ nói chung: Từ đầu năm đến tháng 9/2022 có 560 doanh nghiệp lĩnh vực thương mại - lịch vụ thành lập mới với số vốn đăng ký là 2.869 tỷ đồng, số lượng lao động là 2.943 người </w:t>
      </w:r>
      <w:r>
        <w:rPr>
          <w:i/>
          <w:color w:val="000000" w:themeColor="text1"/>
          <w:sz w:val="28"/>
          <w:szCs w:val="28"/>
        </w:rPr>
        <w:t>(Các số liệu khác không có báo cáo cụ thể).</w:t>
      </w:r>
    </w:p>
    <w:p>
      <w:pPr>
        <w:spacing w:before="120" w:after="120"/>
        <w:jc w:val="both"/>
        <w:rPr>
          <w:b/>
          <w:i/>
          <w:color w:val="000000" w:themeColor="text1"/>
          <w:sz w:val="28"/>
          <w:szCs w:val="28"/>
        </w:rPr>
      </w:pPr>
      <w:r>
        <w:rPr>
          <w:color w:val="000000" w:themeColor="text1"/>
          <w:sz w:val="28"/>
          <w:szCs w:val="28"/>
        </w:rPr>
        <w:tab/>
      </w:r>
      <w:r>
        <w:rPr>
          <w:i/>
          <w:color w:val="000000" w:themeColor="text1"/>
          <w:sz w:val="28"/>
          <w:szCs w:val="28"/>
        </w:rPr>
        <w:t xml:space="preserve"> </w:t>
      </w:r>
      <w:r>
        <w:rPr>
          <w:b/>
          <w:i/>
          <w:color w:val="000000" w:themeColor="text1"/>
          <w:sz w:val="28"/>
          <w:szCs w:val="28"/>
        </w:rPr>
        <w:t>d. Đối với lĩnh vực vận tải</w:t>
      </w:r>
    </w:p>
    <w:p>
      <w:pPr>
        <w:spacing w:before="120" w:after="120"/>
        <w:ind w:firstLine="720"/>
        <w:jc w:val="both"/>
        <w:rPr>
          <w:color w:val="000000" w:themeColor="text1"/>
          <w:sz w:val="28"/>
          <w:szCs w:val="28"/>
          <w:shd w:val="clear" w:color="auto" w:fill="FFFFFF"/>
        </w:rPr>
      </w:pPr>
      <w:r>
        <w:rPr>
          <w:color w:val="000000" w:themeColor="text1"/>
          <w:sz w:val="28"/>
          <w:szCs w:val="28"/>
        </w:rPr>
        <w:t>- Tính đến tháng 9/2022, số lượng doanh nghiệp trong lĩnh vực vận tải đang hoạt động là 836 doanh nghiệp, số lao động làm việc trong lĩnh vực vận tải là 23.000 người.</w:t>
      </w:r>
    </w:p>
    <w:p>
      <w:pPr>
        <w:spacing w:before="120" w:after="120"/>
        <w:ind w:firstLine="720"/>
        <w:jc w:val="both"/>
        <w:rPr>
          <w:color w:val="000000" w:themeColor="text1"/>
          <w:sz w:val="28"/>
          <w:szCs w:val="28"/>
        </w:rPr>
      </w:pPr>
      <w:r>
        <w:rPr>
          <w:color w:val="000000" w:themeColor="text1"/>
          <w:sz w:val="28"/>
          <w:szCs w:val="28"/>
        </w:rPr>
        <w:t>- Trong tháng 9/2022, số lượng phương tiện kiểm định là 3.493 phương tiện, lũy kế trong 9 tháng đầu năm 2022 là 37.897 phương tiện.</w:t>
      </w:r>
    </w:p>
    <w:p>
      <w:pPr>
        <w:spacing w:before="120" w:after="120"/>
        <w:ind w:firstLine="720"/>
        <w:jc w:val="both"/>
        <w:rPr>
          <w:color w:val="000000" w:themeColor="text1"/>
          <w:sz w:val="28"/>
          <w:szCs w:val="28"/>
        </w:rPr>
      </w:pPr>
      <w:r>
        <w:rPr>
          <w:color w:val="000000" w:themeColor="text1"/>
          <w:sz w:val="28"/>
          <w:szCs w:val="28"/>
        </w:rPr>
        <w:t xml:space="preserve">- Doanh thu từ lĩnh vực vận tải tháng 9/2022 là 333 tỷ đồng, lũy kế trong 9 tháng đầu năm 2022 là 2.800tỷ đồng </w:t>
      </w:r>
    </w:p>
    <w:p>
      <w:pPr>
        <w:spacing w:before="120" w:after="120"/>
        <w:ind w:firstLine="720"/>
        <w:jc w:val="both"/>
        <w:rPr>
          <w:i/>
          <w:color w:val="000000" w:themeColor="text1"/>
          <w:sz w:val="28"/>
          <w:szCs w:val="28"/>
        </w:rPr>
      </w:pPr>
      <w:r>
        <w:rPr>
          <w:i/>
          <w:color w:val="000000" w:themeColor="text1"/>
          <w:sz w:val="28"/>
          <w:szCs w:val="28"/>
        </w:rPr>
        <w:t>* Số liệu về tăng, giảm so với cùng kỳ không có báo cáo cụ thể.</w:t>
      </w:r>
    </w:p>
    <w:p>
      <w:pPr>
        <w:spacing w:before="120" w:after="120"/>
        <w:ind w:firstLine="720"/>
        <w:jc w:val="both"/>
        <w:rPr>
          <w:b/>
          <w:i/>
          <w:color w:val="000000" w:themeColor="text1"/>
          <w:sz w:val="28"/>
          <w:szCs w:val="28"/>
        </w:rPr>
      </w:pPr>
      <w:r>
        <w:rPr>
          <w:b/>
          <w:i/>
          <w:color w:val="000000" w:themeColor="text1"/>
          <w:sz w:val="28"/>
          <w:szCs w:val="28"/>
        </w:rPr>
        <w:t>đ. Đối với lĩnh vực nông nghiệp, lâm nghiệp, thủy sản</w:t>
      </w:r>
    </w:p>
    <w:p>
      <w:pPr>
        <w:spacing w:before="120" w:after="120"/>
        <w:jc w:val="both"/>
        <w:rPr>
          <w:color w:val="000000" w:themeColor="text1"/>
          <w:sz w:val="28"/>
          <w:szCs w:val="28"/>
        </w:rPr>
      </w:pPr>
      <w:r>
        <w:rPr>
          <w:rFonts w:asciiTheme="majorHAnsi" w:hAnsiTheme="majorHAnsi" w:cstheme="majorHAnsi"/>
          <w:color w:val="000000" w:themeColor="text1"/>
          <w:sz w:val="28"/>
          <w:szCs w:val="28"/>
        </w:rPr>
        <w:tab/>
      </w:r>
      <w:r>
        <w:rPr>
          <w:color w:val="000000" w:themeColor="text1"/>
          <w:sz w:val="28"/>
          <w:szCs w:val="28"/>
        </w:rPr>
        <w:t>- Lũy kế đến tháng 9/2022 số lượng doanh nghiệp trong lĩnh vực nông nghiệp, lâm nghiệp, thủy sản đang hoạt động là 71 doanh nghiệp.</w:t>
      </w:r>
    </w:p>
    <w:p>
      <w:pPr>
        <w:spacing w:before="120" w:after="120"/>
        <w:jc w:val="both"/>
        <w:rPr>
          <w:color w:val="000000" w:themeColor="text1"/>
          <w:sz w:val="28"/>
          <w:szCs w:val="28"/>
        </w:rPr>
      </w:pPr>
      <w:r>
        <w:rPr>
          <w:color w:val="000000" w:themeColor="text1"/>
          <w:sz w:val="28"/>
          <w:szCs w:val="28"/>
        </w:rPr>
        <w:tab/>
      </w:r>
      <w:r>
        <w:rPr>
          <w:color w:val="000000" w:themeColor="text1"/>
          <w:sz w:val="28"/>
          <w:szCs w:val="28"/>
        </w:rPr>
        <w:t xml:space="preserve">- Lũy kế đến tháng 9/2022 số lượng lao động làm việc trong lĩnh vực nông nghiệp, lâm nghiệp, thủy sảnlà 30.964 người </w:t>
      </w:r>
    </w:p>
    <w:p>
      <w:pPr>
        <w:spacing w:before="120" w:after="120"/>
        <w:ind w:firstLine="720"/>
        <w:jc w:val="both"/>
        <w:rPr>
          <w:b/>
          <w:i/>
          <w:color w:val="000000" w:themeColor="text1"/>
          <w:sz w:val="28"/>
          <w:szCs w:val="28"/>
        </w:rPr>
      </w:pPr>
      <w:r>
        <w:rPr>
          <w:b/>
          <w:i/>
          <w:color w:val="000000" w:themeColor="text1"/>
          <w:sz w:val="28"/>
          <w:szCs w:val="28"/>
        </w:rPr>
        <w:t>e. Đối với lĩnh vực hải quan</w:t>
      </w:r>
    </w:p>
    <w:p>
      <w:pPr>
        <w:spacing w:before="120" w:after="120"/>
        <w:ind w:firstLine="720"/>
        <w:jc w:val="both"/>
        <w:rPr>
          <w:b/>
          <w:i/>
          <w:color w:val="000000" w:themeColor="text1"/>
          <w:sz w:val="28"/>
          <w:szCs w:val="28"/>
        </w:rPr>
      </w:pPr>
      <w:r>
        <w:rPr>
          <w:color w:val="000000" w:themeColor="text1"/>
          <w:sz w:val="28"/>
          <w:szCs w:val="28"/>
        </w:rPr>
        <w:t xml:space="preserve">- Tăng 1,242% số lượng doanh nghiệp </w:t>
      </w:r>
      <w:r>
        <w:rPr>
          <w:color w:val="000000" w:themeColor="text1"/>
          <w:sz w:val="28"/>
          <w:szCs w:val="28"/>
          <w:shd w:val="clear" w:color="auto" w:fill="FFFFFF"/>
        </w:rPr>
        <w:t>giải quyết thủ tục hải quan</w:t>
      </w:r>
      <w:r>
        <w:rPr>
          <w:color w:val="000000" w:themeColor="text1"/>
          <w:sz w:val="28"/>
          <w:szCs w:val="28"/>
        </w:rPr>
        <w:t xml:space="preserve"> (trong tháng 9/2022 có 259 doanh nghiệp giải quyết thủ tục hải quan, lũy kế trong 9 tháng đầu năm 2022 có 489 doanh nghiệp </w:t>
      </w:r>
      <w:r>
        <w:rPr>
          <w:color w:val="000000" w:themeColor="text1"/>
          <w:sz w:val="28"/>
          <w:szCs w:val="28"/>
          <w:shd w:val="clear" w:color="auto" w:fill="FFFFFF"/>
        </w:rPr>
        <w:t>giải quyết thủ tục hải quan).</w:t>
      </w:r>
    </w:p>
    <w:p>
      <w:pPr>
        <w:spacing w:before="120" w:after="120"/>
        <w:ind w:firstLine="720"/>
        <w:jc w:val="both"/>
        <w:rPr>
          <w:b/>
          <w:i/>
          <w:color w:val="000000" w:themeColor="text1"/>
          <w:sz w:val="28"/>
          <w:szCs w:val="28"/>
        </w:rPr>
      </w:pPr>
      <w:r>
        <w:rPr>
          <w:color w:val="000000" w:themeColor="text1"/>
          <w:sz w:val="28"/>
          <w:szCs w:val="28"/>
          <w:shd w:val="clear" w:color="auto" w:fill="FFFFFF"/>
        </w:rPr>
        <w:t xml:space="preserve">- Tăng 22,01% </w:t>
      </w:r>
      <w:r>
        <w:rPr>
          <w:color w:val="000000" w:themeColor="text1"/>
          <w:sz w:val="28"/>
          <w:szCs w:val="28"/>
        </w:rPr>
        <w:t>số lượng tờ khai thông quan hàng hóa (trong tháng 9/2022 phát sinh 10.069 tờ khai, lũy kế trong 9 tháng đầu năm 2022 có 104.335 tờ khai)</w:t>
      </w:r>
    </w:p>
    <w:p>
      <w:pPr>
        <w:spacing w:before="120" w:after="120"/>
        <w:ind w:firstLine="720"/>
        <w:jc w:val="both"/>
        <w:rPr>
          <w:i/>
          <w:color w:val="000000" w:themeColor="text1"/>
          <w:sz w:val="28"/>
          <w:szCs w:val="28"/>
        </w:rPr>
      </w:pPr>
      <w:r>
        <w:rPr>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pPr>
        <w:spacing w:before="120" w:after="120"/>
        <w:ind w:firstLine="720"/>
        <w:jc w:val="both"/>
        <w:rPr>
          <w:b/>
          <w:i/>
          <w:color w:val="000000" w:themeColor="text1"/>
          <w:sz w:val="28"/>
          <w:szCs w:val="28"/>
        </w:rPr>
      </w:pPr>
      <w:r>
        <w:rPr>
          <w:b/>
          <w:i/>
          <w:color w:val="000000" w:themeColor="text1"/>
          <w:sz w:val="28"/>
          <w:szCs w:val="28"/>
        </w:rPr>
        <w:t>g. Đối với lĩnh vực Khoa học và Công nghệ</w:t>
      </w:r>
    </w:p>
    <w:p>
      <w:pPr>
        <w:spacing w:before="120" w:after="120"/>
        <w:ind w:firstLine="720"/>
        <w:jc w:val="both"/>
        <w:rPr>
          <w:color w:val="000000" w:themeColor="text1"/>
          <w:sz w:val="28"/>
          <w:szCs w:val="28"/>
        </w:rPr>
      </w:pPr>
      <w:r>
        <w:rPr>
          <w:color w:val="000000" w:themeColor="text1"/>
          <w:sz w:val="28"/>
          <w:szCs w:val="28"/>
        </w:rPr>
        <w:t>Lũy kế đến tháng 9/2022, số lượng doanh nghiệp khởi nghiệp được hỗ trợ theo Quyết định số 454/QĐ-UBND của UBND tỉnh là 105 doanh nghiệp với số tiền được hỗ trợ là 577,5 triệu đồng.</w:t>
      </w:r>
    </w:p>
    <w:p>
      <w:pPr>
        <w:spacing w:before="120" w:after="120"/>
        <w:ind w:firstLine="720"/>
        <w:jc w:val="both"/>
        <w:rPr>
          <w:b/>
          <w:i/>
          <w:color w:val="000000" w:themeColor="text1"/>
          <w:sz w:val="28"/>
          <w:szCs w:val="28"/>
        </w:rPr>
      </w:pPr>
      <w:r>
        <w:rPr>
          <w:b/>
          <w:i/>
          <w:color w:val="000000" w:themeColor="text1"/>
          <w:sz w:val="28"/>
          <w:szCs w:val="28"/>
        </w:rPr>
        <w:t>8.  Đối với doanh nghiệp trên địa bàn Khu kinh tế mở Chu Lai và các khu công nghiệp của tỉnh</w:t>
      </w:r>
    </w:p>
    <w:p>
      <w:pPr>
        <w:spacing w:before="120" w:after="120"/>
        <w:ind w:firstLine="720"/>
        <w:jc w:val="both"/>
        <w:rPr>
          <w:color w:val="000000" w:themeColor="text1"/>
          <w:sz w:val="28"/>
          <w:szCs w:val="28"/>
        </w:rPr>
      </w:pPr>
      <w:r>
        <w:rPr>
          <w:color w:val="000000" w:themeColor="text1"/>
          <w:sz w:val="28"/>
          <w:szCs w:val="28"/>
        </w:rPr>
        <w:t>Trong tháng 9/2022, số lượng doanh nghiệp đăng ký mới là 01 doanh nghiệp, lũy kế trong 9 tháng đầu năm 2022 là 06 doanh nghiệp; tổng cộng có 178 doanh nghiệp trong Khu kinh tế Chu Lai, trong đó có 100 doanh nghiệp trong các khu công nghiệp; số lượng lao động làm việc trong Khu kinh tế Chu Lai và các Khu công nghiệp là 61.000 người.</w:t>
      </w:r>
    </w:p>
    <w:p>
      <w:pPr>
        <w:spacing w:before="120" w:after="120"/>
        <w:ind w:firstLine="720"/>
        <w:jc w:val="both"/>
        <w:rPr>
          <w:color w:val="000000" w:themeColor="text1"/>
          <w:sz w:val="28"/>
          <w:szCs w:val="28"/>
        </w:rPr>
      </w:pPr>
      <w:r>
        <w:rPr>
          <w:i/>
          <w:color w:val="000000" w:themeColor="text1"/>
          <w:sz w:val="28"/>
          <w:szCs w:val="28"/>
        </w:rPr>
        <w:t>*Dịch bệnh Covid-19 đã được kiểm soát, mức độ ảnh hưởng đến hoạt động các doanh nghiệp đã giảm, các nhà đầu tư đến nghiên cứu và thực hiện đầu tư vào Khu kinh tế, Khu công nghiệp có dấu hiệu tăng lên, công tác xúc tiến đầu tư cũng được thực hiện trong điều kiện thuận lợi hơn.</w:t>
      </w:r>
    </w:p>
    <w:p>
      <w:pPr>
        <w:spacing w:before="120" w:after="120"/>
        <w:ind w:firstLine="720"/>
        <w:jc w:val="both"/>
        <w:rPr>
          <w:b/>
          <w:color w:val="000000" w:themeColor="text1"/>
          <w:sz w:val="28"/>
          <w:szCs w:val="28"/>
        </w:rPr>
      </w:pPr>
      <w:r>
        <w:rPr>
          <w:b/>
          <w:color w:val="000000" w:themeColor="text1"/>
          <w:sz w:val="28"/>
          <w:szCs w:val="28"/>
        </w:rPr>
        <w:t xml:space="preserve">II. Về thực hiện những chính sách, giải pháp hỗ trợ doanh nghiệp ứng phó với dịch bệnh Covid-19 </w:t>
      </w:r>
    </w:p>
    <w:p>
      <w:pPr>
        <w:spacing w:before="120" w:after="120"/>
        <w:ind w:firstLine="720"/>
        <w:jc w:val="both"/>
        <w:rPr>
          <w:color w:val="000000" w:themeColor="text1"/>
          <w:sz w:val="28"/>
          <w:szCs w:val="28"/>
        </w:rPr>
      </w:pPr>
      <w:r>
        <w:rPr>
          <w:b/>
          <w:color w:val="000000" w:themeColor="text1"/>
          <w:sz w:val="28"/>
          <w:szCs w:val="28"/>
        </w:rPr>
        <w:t>1. Về gia hạn thời gian nộp thuế, tiền thuê đất, ưu đãi thuế</w:t>
      </w:r>
    </w:p>
    <w:p>
      <w:pPr>
        <w:spacing w:before="120" w:after="120"/>
        <w:ind w:firstLine="720"/>
        <w:jc w:val="both"/>
        <w:rPr>
          <w:color w:val="000000" w:themeColor="text1"/>
          <w:sz w:val="28"/>
          <w:szCs w:val="28"/>
        </w:rPr>
      </w:pPr>
      <w:r>
        <w:rPr>
          <w:color w:val="000000" w:themeColor="text1"/>
          <w:sz w:val="28"/>
          <w:szCs w:val="28"/>
        </w:rPr>
        <w:t>- Trong tháng 9 không có doanh nghiệp đề nghị gia hạn nộp thuế và tiền thuê đất theo cơ chế hỗ trợ Covid, lũy kế trong 9 tháng đầu năm 2022 số thuế doanh nghiệp được gia hạn nộp thuế và tiền thuê đất theo cơ chế hỗ trợ Covid-19 là 5.006.938,22 tỷ đồng (tăng 702.135,37% so với cùng kỳ năm 2021).</w:t>
      </w:r>
    </w:p>
    <w:p>
      <w:pPr>
        <w:spacing w:before="120" w:after="120"/>
        <w:ind w:firstLine="720"/>
        <w:jc w:val="both"/>
        <w:rPr>
          <w:color w:val="000000" w:themeColor="text1"/>
          <w:sz w:val="28"/>
          <w:szCs w:val="28"/>
        </w:rPr>
      </w:pPr>
      <w:r>
        <w:rPr>
          <w:color w:val="000000" w:themeColor="text1"/>
          <w:sz w:val="28"/>
          <w:szCs w:val="28"/>
        </w:rPr>
        <w:t xml:space="preserve">- Trong tháng 9 không có doanh nghiệp đề nghị được miễn, giảm thuế theo cơ chế hỗ trợ Covid-19, lũy kế đến tháng 9/2022 có 3.250 doanh nghiệp đề nghị được miễn, giảm theo cơ chế hỗ trợ Covid-19 với số thuế là 1.025,17 tỷ đồng (tăng 1.226,6% so với cùng kỳ năm 2021), trong đó: </w:t>
      </w:r>
    </w:p>
    <w:p>
      <w:pPr>
        <w:spacing w:before="120" w:after="120"/>
        <w:ind w:firstLine="720"/>
        <w:jc w:val="both"/>
        <w:rPr>
          <w:color w:val="000000" w:themeColor="text1"/>
          <w:sz w:val="28"/>
          <w:szCs w:val="28"/>
        </w:rPr>
      </w:pPr>
      <w:r>
        <w:rPr>
          <w:color w:val="000000" w:themeColor="text1"/>
          <w:sz w:val="28"/>
          <w:szCs w:val="28"/>
        </w:rPr>
        <w:t>+ Số thuế được miễn là 20,56 tỷ đồng (giảm 53,14% so với cùng kỳ năm 2021).</w:t>
      </w:r>
    </w:p>
    <w:p>
      <w:pPr>
        <w:spacing w:before="120" w:after="120"/>
        <w:ind w:firstLine="720"/>
        <w:jc w:val="both"/>
        <w:rPr>
          <w:color w:val="000000" w:themeColor="text1"/>
          <w:sz w:val="28"/>
          <w:szCs w:val="28"/>
        </w:rPr>
      </w:pPr>
      <w:r>
        <w:rPr>
          <w:color w:val="000000" w:themeColor="text1"/>
          <w:sz w:val="28"/>
          <w:szCs w:val="28"/>
        </w:rPr>
        <w:t>+ Số thuế được giảm là 1.004,61 tỷ đồng (tăng 2.908,7% so với cùng kỳ năm 2021).</w:t>
      </w:r>
    </w:p>
    <w:p>
      <w:pPr>
        <w:spacing w:before="120" w:after="120"/>
        <w:ind w:firstLine="720"/>
        <w:jc w:val="both"/>
        <w:rPr>
          <w:b/>
          <w:color w:val="000000" w:themeColor="text1"/>
          <w:sz w:val="28"/>
          <w:szCs w:val="28"/>
        </w:rPr>
      </w:pPr>
    </w:p>
    <w:p>
      <w:pPr>
        <w:spacing w:before="120" w:after="120"/>
        <w:ind w:firstLine="720"/>
        <w:jc w:val="both"/>
        <w:rPr>
          <w:b/>
          <w:color w:val="000000" w:themeColor="text1"/>
          <w:sz w:val="28"/>
          <w:szCs w:val="28"/>
          <w:highlight w:val="yellow"/>
        </w:rPr>
      </w:pPr>
      <w:r>
        <w:rPr>
          <w:rFonts w:hint="default"/>
          <w:b/>
          <w:color w:val="000000" w:themeColor="text1"/>
          <w:sz w:val="28"/>
          <w:szCs w:val="28"/>
          <w:lang w:val="en-US"/>
        </w:rPr>
        <w:t>2</w:t>
      </w:r>
      <w:r>
        <w:rPr>
          <w:b/>
          <w:color w:val="000000" w:themeColor="text1"/>
          <w:sz w:val="28"/>
          <w:szCs w:val="28"/>
        </w:rPr>
        <w:t>. Về hỗ trợ tín dụng</w:t>
      </w:r>
    </w:p>
    <w:p>
      <w:pPr>
        <w:spacing w:before="120" w:after="120"/>
        <w:ind w:firstLine="720"/>
        <w:jc w:val="both"/>
        <w:rPr>
          <w:color w:val="000000" w:themeColor="text1"/>
          <w:sz w:val="28"/>
          <w:szCs w:val="28"/>
        </w:rPr>
      </w:pPr>
      <w:r>
        <w:rPr>
          <w:color w:val="000000" w:themeColor="text1"/>
          <w:sz w:val="28"/>
          <w:szCs w:val="28"/>
        </w:rPr>
        <w:t>Số lượng doanh nghiệp được cơ cấu lại thời hạn trả nợ, miễn giảm lãi vay và giữ nguyên nhóm nợ trong tháng 9/2022 là 48 doanh nghiệp, số tiền nợ được cơ cấu là 769,07 tỷ đồng.</w:t>
      </w:r>
    </w:p>
    <w:p>
      <w:pPr>
        <w:spacing w:before="120" w:after="120"/>
        <w:ind w:firstLine="720"/>
        <w:jc w:val="both"/>
        <w:rPr>
          <w:b/>
          <w:color w:val="000000" w:themeColor="text1"/>
          <w:sz w:val="28"/>
          <w:szCs w:val="28"/>
        </w:rPr>
      </w:pPr>
      <w:r>
        <w:rPr>
          <w:rFonts w:hint="default"/>
          <w:b/>
          <w:color w:val="000000" w:themeColor="text1"/>
          <w:sz w:val="28"/>
          <w:szCs w:val="28"/>
          <w:lang w:val="en-US"/>
        </w:rPr>
        <w:t>3</w:t>
      </w:r>
      <w:r>
        <w:rPr>
          <w:b/>
          <w:color w:val="000000" w:themeColor="text1"/>
          <w:sz w:val="28"/>
          <w:szCs w:val="28"/>
        </w:rPr>
        <w:t>. Về hỗ trợ cho người lao động</w:t>
      </w:r>
    </w:p>
    <w:p>
      <w:pPr>
        <w:spacing w:before="120" w:after="120"/>
        <w:ind w:firstLine="720"/>
        <w:jc w:val="both"/>
        <w:rPr>
          <w:color w:val="000000" w:themeColor="text1"/>
          <w:sz w:val="28"/>
          <w:szCs w:val="28"/>
        </w:rPr>
      </w:pPr>
      <w:r>
        <w:rPr>
          <w:color w:val="000000" w:themeColor="text1"/>
          <w:sz w:val="28"/>
          <w:szCs w:val="28"/>
        </w:rPr>
        <w:t>- Tháng 9/2022 số lao động được hưởng bảo hiểm thất nghiệp là 1.484 người, lũy kế đến</w:t>
      </w:r>
      <w:r>
        <w:rPr>
          <w:rFonts w:hint="default"/>
          <w:color w:val="000000" w:themeColor="text1"/>
          <w:sz w:val="28"/>
          <w:szCs w:val="28"/>
          <w:lang w:val="en-US"/>
        </w:rPr>
        <w:t xml:space="preserve"> </w:t>
      </w:r>
      <w:r>
        <w:rPr>
          <w:color w:val="000000" w:themeColor="text1"/>
          <w:sz w:val="28"/>
          <w:szCs w:val="28"/>
        </w:rPr>
        <w:t>tháng</w:t>
      </w:r>
      <w:r>
        <w:rPr>
          <w:rFonts w:hint="default"/>
          <w:color w:val="000000" w:themeColor="text1"/>
          <w:sz w:val="28"/>
          <w:szCs w:val="28"/>
          <w:lang w:val="en-US"/>
        </w:rPr>
        <w:t xml:space="preserve"> </w:t>
      </w:r>
      <w:r>
        <w:rPr>
          <w:color w:val="000000" w:themeColor="text1"/>
          <w:sz w:val="28"/>
          <w:szCs w:val="28"/>
        </w:rPr>
        <w:t>9/2022 là</w:t>
      </w:r>
      <w:r>
        <w:rPr>
          <w:rFonts w:hint="default"/>
          <w:color w:val="000000" w:themeColor="text1"/>
          <w:sz w:val="28"/>
          <w:szCs w:val="28"/>
          <w:lang w:val="en-US"/>
        </w:rPr>
        <w:t xml:space="preserve"> </w:t>
      </w:r>
      <w:r>
        <w:rPr>
          <w:color w:val="000000" w:themeColor="text1"/>
          <w:sz w:val="28"/>
          <w:szCs w:val="28"/>
        </w:rPr>
        <w:t>8.225 người.</w:t>
      </w:r>
    </w:p>
    <w:p>
      <w:pPr>
        <w:spacing w:before="120" w:after="120"/>
        <w:ind w:firstLine="720"/>
        <w:jc w:val="both"/>
        <w:rPr>
          <w:color w:val="FF0000"/>
          <w:sz w:val="28"/>
          <w:szCs w:val="28"/>
        </w:rPr>
      </w:pPr>
      <w:r>
        <w:rPr>
          <w:color w:val="000000" w:themeColor="text1"/>
          <w:sz w:val="28"/>
          <w:szCs w:val="28"/>
        </w:rPr>
        <w:t>- Tính đến tháng 9/2022, số lượng lao động chấm dứt Hợp đồng lao động nhưng không đủ điều kiện hưởng trợ cấp thất nghiệp được hỗ trợ theo Quyết định số 23/2021/QĐ-TTg ngày 7/7/2021 là 48 người với số tiền là 140 triệu đồng.</w:t>
      </w:r>
    </w:p>
    <w:p>
      <w:pPr>
        <w:spacing w:before="120" w:after="120"/>
        <w:ind w:firstLine="720"/>
        <w:jc w:val="both"/>
        <w:rPr>
          <w:color w:val="000000" w:themeColor="text1"/>
          <w:sz w:val="28"/>
          <w:szCs w:val="28"/>
        </w:rPr>
      </w:pPr>
      <w:r>
        <w:rPr>
          <w:color w:val="000000" w:themeColor="text1"/>
          <w:sz w:val="28"/>
          <w:szCs w:val="28"/>
        </w:rPr>
        <w:t>Trên đây là báo cáo tình hình “sức khỏe của doanh nghiệp” trên địa bàn tỉnh Quảng Nam trong tháng 9 và 9 tháng đầu năm 2022, Sở Kế hoạch và Đầu tư kính báo cáo UBND tỉnh./.</w:t>
      </w:r>
    </w:p>
    <w:tbl>
      <w:tblPr>
        <w:tblStyle w:val="5"/>
        <w:tblW w:w="9037" w:type="dxa"/>
        <w:jc w:val="center"/>
        <w:tblLayout w:type="fixed"/>
        <w:tblCellMar>
          <w:top w:w="0" w:type="dxa"/>
          <w:left w:w="108" w:type="dxa"/>
          <w:bottom w:w="0" w:type="dxa"/>
          <w:right w:w="108" w:type="dxa"/>
        </w:tblCellMar>
      </w:tblPr>
      <w:tblGrid>
        <w:gridCol w:w="4395"/>
        <w:gridCol w:w="4642"/>
      </w:tblGrid>
      <w:tr>
        <w:tblPrEx>
          <w:tblCellMar>
            <w:top w:w="0" w:type="dxa"/>
            <w:left w:w="108" w:type="dxa"/>
            <w:bottom w:w="0" w:type="dxa"/>
            <w:right w:w="108" w:type="dxa"/>
          </w:tblCellMar>
        </w:tblPrEx>
        <w:trPr>
          <w:trHeight w:val="1561" w:hRule="atLeast"/>
          <w:jc w:val="center"/>
        </w:trPr>
        <w:tc>
          <w:tcPr>
            <w:tcW w:w="4395" w:type="dxa"/>
          </w:tcPr>
          <w:p>
            <w:pPr>
              <w:pStyle w:val="3"/>
              <w:spacing w:before="0" w:after="0"/>
              <w:jc w:val="both"/>
              <w:rPr>
                <w:rFonts w:ascii="Times New Roman" w:hAnsi="Times New Roman"/>
                <w:i/>
                <w:color w:val="000000" w:themeColor="text1"/>
                <w:sz w:val="24"/>
                <w:szCs w:val="24"/>
                <w:lang w:val="vi-VN"/>
              </w:rPr>
            </w:pPr>
            <w:r>
              <w:rPr>
                <w:rFonts w:ascii="Times New Roman" w:hAnsi="Times New Roman"/>
                <w:i/>
                <w:color w:val="000000" w:themeColor="text1"/>
                <w:sz w:val="24"/>
                <w:szCs w:val="24"/>
                <w:lang w:val="vi-VN"/>
              </w:rPr>
              <w:t>Nơi nhận:</w:t>
            </w:r>
          </w:p>
          <w:p>
            <w:pPr>
              <w:rPr>
                <w:color w:val="000000" w:themeColor="text1"/>
              </w:rPr>
            </w:pPr>
            <w:r>
              <w:rPr>
                <w:color w:val="000000" w:themeColor="text1"/>
                <w:lang w:val="vi-VN"/>
              </w:rPr>
              <w:t xml:space="preserve">- UBND tỉnh (b/c); </w:t>
            </w:r>
          </w:p>
          <w:p>
            <w:pPr>
              <w:jc w:val="both"/>
              <w:rPr>
                <w:color w:val="000000" w:themeColor="text1"/>
              </w:rPr>
            </w:pPr>
            <w:r>
              <w:rPr>
                <w:color w:val="000000" w:themeColor="text1"/>
              </w:rPr>
              <w:t>- BGĐ Sở;</w:t>
            </w:r>
          </w:p>
          <w:p>
            <w:pPr>
              <w:jc w:val="both"/>
              <w:rPr>
                <w:color w:val="000000" w:themeColor="text1"/>
                <w:szCs w:val="28"/>
              </w:rPr>
            </w:pPr>
            <w:r>
              <w:rPr>
                <w:color w:val="000000" w:themeColor="text1"/>
              </w:rPr>
              <w:t>- Lưu: VT, TT.</w:t>
            </w:r>
          </w:p>
        </w:tc>
        <w:tc>
          <w:tcPr>
            <w:tcW w:w="4642" w:type="dxa"/>
          </w:tcPr>
          <w:p>
            <w:pPr>
              <w:tabs>
                <w:tab w:val="right" w:pos="5171"/>
              </w:tabs>
              <w:jc w:val="center"/>
              <w:rPr>
                <w:b/>
                <w:color w:val="000000" w:themeColor="text1"/>
                <w:szCs w:val="28"/>
              </w:rPr>
            </w:pPr>
            <w:r>
              <w:rPr>
                <w:b/>
                <w:color w:val="000000" w:themeColor="text1"/>
                <w:sz w:val="28"/>
                <w:szCs w:val="28"/>
              </w:rPr>
              <w:t>GIÁM ĐỐC</w:t>
            </w:r>
          </w:p>
          <w:p>
            <w:pPr>
              <w:tabs>
                <w:tab w:val="right" w:pos="5171"/>
              </w:tabs>
              <w:jc w:val="center"/>
              <w:rPr>
                <w:b/>
                <w:color w:val="000000" w:themeColor="text1"/>
                <w:szCs w:val="28"/>
              </w:rPr>
            </w:pPr>
          </w:p>
          <w:p>
            <w:pPr>
              <w:tabs>
                <w:tab w:val="right" w:pos="5171"/>
              </w:tabs>
              <w:jc w:val="center"/>
              <w:rPr>
                <w:b/>
                <w:color w:val="000000" w:themeColor="text1"/>
                <w:szCs w:val="28"/>
              </w:rPr>
            </w:pPr>
          </w:p>
          <w:p>
            <w:pPr>
              <w:tabs>
                <w:tab w:val="right" w:pos="5171"/>
              </w:tabs>
              <w:jc w:val="center"/>
              <w:rPr>
                <w:b/>
                <w:color w:val="000000" w:themeColor="text1"/>
                <w:szCs w:val="28"/>
              </w:rPr>
            </w:pPr>
          </w:p>
          <w:p>
            <w:pPr>
              <w:tabs>
                <w:tab w:val="right" w:pos="5171"/>
              </w:tabs>
              <w:jc w:val="center"/>
              <w:rPr>
                <w:b/>
                <w:color w:val="000000" w:themeColor="text1"/>
                <w:szCs w:val="28"/>
              </w:rPr>
            </w:pPr>
          </w:p>
          <w:p>
            <w:pPr>
              <w:tabs>
                <w:tab w:val="right" w:pos="5171"/>
              </w:tabs>
              <w:jc w:val="center"/>
              <w:rPr>
                <w:b/>
                <w:color w:val="000000" w:themeColor="text1"/>
                <w:szCs w:val="28"/>
              </w:rPr>
            </w:pPr>
            <w:r>
              <w:rPr>
                <w:b/>
                <w:color w:val="000000" w:themeColor="text1"/>
                <w:sz w:val="28"/>
                <w:szCs w:val="28"/>
              </w:rPr>
              <w:t>Nguyễn Quang Thử</w:t>
            </w:r>
          </w:p>
        </w:tc>
      </w:tr>
    </w:tbl>
    <w:p>
      <w:pPr>
        <w:tabs>
          <w:tab w:val="center" w:pos="600"/>
          <w:tab w:val="center" w:pos="6240"/>
        </w:tabs>
        <w:spacing w:before="120" w:after="120"/>
        <w:rPr>
          <w:b/>
          <w:color w:val="000000" w:themeColor="text1"/>
          <w:sz w:val="28"/>
          <w:szCs w:val="28"/>
        </w:rPr>
      </w:pPr>
    </w:p>
    <w:p>
      <w:pPr>
        <w:rPr>
          <w:color w:val="000000" w:themeColor="text1"/>
          <w:sz w:val="28"/>
          <w:szCs w:val="28"/>
        </w:rPr>
      </w:pPr>
    </w:p>
    <w:sectPr>
      <w:headerReference r:id="rId3" w:type="default"/>
      <w:footerReference r:id="rId4" w:type="default"/>
      <w:footerReference r:id="rId5" w:type="even"/>
      <w:pgSz w:w="11907" w:h="16840"/>
      <w:pgMar w:top="1021" w:right="1134" w:bottom="1021" w:left="1701" w:header="397" w:footer="113"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center"/>
      <w:rPr>
        <w:b/>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center"/>
      <w:rPr>
        <w:color w:val="000000"/>
      </w:rPr>
    </w:pPr>
    <w:r>
      <w:rPr>
        <w:color w:val="000000"/>
      </w:rPr>
      <w:fldChar w:fldCharType="begin"/>
    </w:r>
    <w:r>
      <w:rPr>
        <w:color w:val="000000"/>
      </w:rPr>
      <w:instrText xml:space="preserve">PAGE</w:instrTex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6</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F0"/>
    <w:rsid w:val="000001F3"/>
    <w:rsid w:val="00002364"/>
    <w:rsid w:val="00006CA1"/>
    <w:rsid w:val="000114B2"/>
    <w:rsid w:val="00015076"/>
    <w:rsid w:val="000237F8"/>
    <w:rsid w:val="00031A1B"/>
    <w:rsid w:val="00034488"/>
    <w:rsid w:val="000349B1"/>
    <w:rsid w:val="000362F9"/>
    <w:rsid w:val="00044B56"/>
    <w:rsid w:val="000516BF"/>
    <w:rsid w:val="00061A81"/>
    <w:rsid w:val="000728BB"/>
    <w:rsid w:val="00086D59"/>
    <w:rsid w:val="000870B2"/>
    <w:rsid w:val="00094C00"/>
    <w:rsid w:val="000B0C98"/>
    <w:rsid w:val="000B286A"/>
    <w:rsid w:val="000D6F66"/>
    <w:rsid w:val="000E119B"/>
    <w:rsid w:val="000E5EE6"/>
    <w:rsid w:val="000E6B71"/>
    <w:rsid w:val="00101C3E"/>
    <w:rsid w:val="001044B2"/>
    <w:rsid w:val="001110C2"/>
    <w:rsid w:val="0011465E"/>
    <w:rsid w:val="00114A06"/>
    <w:rsid w:val="001229C4"/>
    <w:rsid w:val="00123B33"/>
    <w:rsid w:val="001311A3"/>
    <w:rsid w:val="00136E40"/>
    <w:rsid w:val="00142DFB"/>
    <w:rsid w:val="001432E5"/>
    <w:rsid w:val="00143F37"/>
    <w:rsid w:val="00150062"/>
    <w:rsid w:val="00154595"/>
    <w:rsid w:val="00166DA5"/>
    <w:rsid w:val="001731F0"/>
    <w:rsid w:val="001751A3"/>
    <w:rsid w:val="0018114F"/>
    <w:rsid w:val="001818C5"/>
    <w:rsid w:val="00187BAA"/>
    <w:rsid w:val="00196EAD"/>
    <w:rsid w:val="001A26C3"/>
    <w:rsid w:val="001B033B"/>
    <w:rsid w:val="001B3188"/>
    <w:rsid w:val="001B35C9"/>
    <w:rsid w:val="001C4C8A"/>
    <w:rsid w:val="001D5AF5"/>
    <w:rsid w:val="001F0A04"/>
    <w:rsid w:val="002033C7"/>
    <w:rsid w:val="00204017"/>
    <w:rsid w:val="002077CC"/>
    <w:rsid w:val="00210197"/>
    <w:rsid w:val="002108A2"/>
    <w:rsid w:val="002156D5"/>
    <w:rsid w:val="00216942"/>
    <w:rsid w:val="00217C3D"/>
    <w:rsid w:val="00222D91"/>
    <w:rsid w:val="002356F5"/>
    <w:rsid w:val="002371B0"/>
    <w:rsid w:val="00247CA5"/>
    <w:rsid w:val="002522B1"/>
    <w:rsid w:val="00267FC4"/>
    <w:rsid w:val="00272533"/>
    <w:rsid w:val="00284A63"/>
    <w:rsid w:val="002856BB"/>
    <w:rsid w:val="00293F29"/>
    <w:rsid w:val="002A6E52"/>
    <w:rsid w:val="002B40C7"/>
    <w:rsid w:val="002C1770"/>
    <w:rsid w:val="002C41D7"/>
    <w:rsid w:val="002C6E1C"/>
    <w:rsid w:val="002C716B"/>
    <w:rsid w:val="002C74EB"/>
    <w:rsid w:val="002D1FBF"/>
    <w:rsid w:val="00316ACE"/>
    <w:rsid w:val="00333F6D"/>
    <w:rsid w:val="00337BBA"/>
    <w:rsid w:val="003563A1"/>
    <w:rsid w:val="003607AE"/>
    <w:rsid w:val="00371C4B"/>
    <w:rsid w:val="00374802"/>
    <w:rsid w:val="003951CB"/>
    <w:rsid w:val="003B05E5"/>
    <w:rsid w:val="003D7A63"/>
    <w:rsid w:val="003E1998"/>
    <w:rsid w:val="003F3BF7"/>
    <w:rsid w:val="003F56B8"/>
    <w:rsid w:val="004004D4"/>
    <w:rsid w:val="004005DB"/>
    <w:rsid w:val="00421BA3"/>
    <w:rsid w:val="00427108"/>
    <w:rsid w:val="00427824"/>
    <w:rsid w:val="00441CD3"/>
    <w:rsid w:val="00444046"/>
    <w:rsid w:val="00444B74"/>
    <w:rsid w:val="00447D70"/>
    <w:rsid w:val="0047123D"/>
    <w:rsid w:val="004715C1"/>
    <w:rsid w:val="00472BEA"/>
    <w:rsid w:val="00485D08"/>
    <w:rsid w:val="00494E13"/>
    <w:rsid w:val="004A08C7"/>
    <w:rsid w:val="004A497A"/>
    <w:rsid w:val="004A6609"/>
    <w:rsid w:val="004A69A0"/>
    <w:rsid w:val="004B0F39"/>
    <w:rsid w:val="004B4DB0"/>
    <w:rsid w:val="004C2C93"/>
    <w:rsid w:val="004C4EDB"/>
    <w:rsid w:val="004C6D3B"/>
    <w:rsid w:val="004D20DF"/>
    <w:rsid w:val="004E4C6B"/>
    <w:rsid w:val="004F1D85"/>
    <w:rsid w:val="004F37AD"/>
    <w:rsid w:val="004F5A54"/>
    <w:rsid w:val="004F64E1"/>
    <w:rsid w:val="00523E4E"/>
    <w:rsid w:val="00524A5E"/>
    <w:rsid w:val="0053362B"/>
    <w:rsid w:val="00545099"/>
    <w:rsid w:val="0055016E"/>
    <w:rsid w:val="005515BF"/>
    <w:rsid w:val="005545BC"/>
    <w:rsid w:val="005615E3"/>
    <w:rsid w:val="00561B42"/>
    <w:rsid w:val="00570FE2"/>
    <w:rsid w:val="005725DA"/>
    <w:rsid w:val="00580649"/>
    <w:rsid w:val="00580970"/>
    <w:rsid w:val="00581807"/>
    <w:rsid w:val="0059115B"/>
    <w:rsid w:val="005935A5"/>
    <w:rsid w:val="0059794B"/>
    <w:rsid w:val="005A0FF3"/>
    <w:rsid w:val="005A7EA6"/>
    <w:rsid w:val="005D0631"/>
    <w:rsid w:val="005D06B5"/>
    <w:rsid w:val="005D3653"/>
    <w:rsid w:val="005D4CBC"/>
    <w:rsid w:val="005E067B"/>
    <w:rsid w:val="005E3DF6"/>
    <w:rsid w:val="005E6ABB"/>
    <w:rsid w:val="005F0C48"/>
    <w:rsid w:val="005F0D62"/>
    <w:rsid w:val="005F306D"/>
    <w:rsid w:val="00604ABD"/>
    <w:rsid w:val="00617F7D"/>
    <w:rsid w:val="0064214D"/>
    <w:rsid w:val="0066082F"/>
    <w:rsid w:val="00677037"/>
    <w:rsid w:val="00683A37"/>
    <w:rsid w:val="00691810"/>
    <w:rsid w:val="006929C1"/>
    <w:rsid w:val="00695980"/>
    <w:rsid w:val="006A4D84"/>
    <w:rsid w:val="006B3AF6"/>
    <w:rsid w:val="006C31EF"/>
    <w:rsid w:val="006D09F6"/>
    <w:rsid w:val="006D7F10"/>
    <w:rsid w:val="006E08B2"/>
    <w:rsid w:val="006E5549"/>
    <w:rsid w:val="006E6BE5"/>
    <w:rsid w:val="006F5F6F"/>
    <w:rsid w:val="0071240D"/>
    <w:rsid w:val="00713AC4"/>
    <w:rsid w:val="00713D56"/>
    <w:rsid w:val="007222D2"/>
    <w:rsid w:val="0073765A"/>
    <w:rsid w:val="00740009"/>
    <w:rsid w:val="007421C9"/>
    <w:rsid w:val="00744A10"/>
    <w:rsid w:val="007465B5"/>
    <w:rsid w:val="0074699D"/>
    <w:rsid w:val="0074795B"/>
    <w:rsid w:val="00753F82"/>
    <w:rsid w:val="00757A3B"/>
    <w:rsid w:val="00777250"/>
    <w:rsid w:val="007832DD"/>
    <w:rsid w:val="00786EB1"/>
    <w:rsid w:val="00792E3C"/>
    <w:rsid w:val="00796293"/>
    <w:rsid w:val="007A3D47"/>
    <w:rsid w:val="007B628F"/>
    <w:rsid w:val="007C66F3"/>
    <w:rsid w:val="007D2F22"/>
    <w:rsid w:val="007D7A98"/>
    <w:rsid w:val="007E37A7"/>
    <w:rsid w:val="007E3A3D"/>
    <w:rsid w:val="007F225E"/>
    <w:rsid w:val="008021D6"/>
    <w:rsid w:val="00802AA3"/>
    <w:rsid w:val="008031F8"/>
    <w:rsid w:val="00820149"/>
    <w:rsid w:val="00830D2A"/>
    <w:rsid w:val="008356F3"/>
    <w:rsid w:val="00840575"/>
    <w:rsid w:val="0084585F"/>
    <w:rsid w:val="00862D97"/>
    <w:rsid w:val="008719D1"/>
    <w:rsid w:val="00876B22"/>
    <w:rsid w:val="00880777"/>
    <w:rsid w:val="008846B6"/>
    <w:rsid w:val="008A0AEA"/>
    <w:rsid w:val="008B03F2"/>
    <w:rsid w:val="008B1AE6"/>
    <w:rsid w:val="008B457B"/>
    <w:rsid w:val="008B7548"/>
    <w:rsid w:val="008C670E"/>
    <w:rsid w:val="008E7A29"/>
    <w:rsid w:val="008F5AE0"/>
    <w:rsid w:val="008F7FF2"/>
    <w:rsid w:val="00902347"/>
    <w:rsid w:val="00912D31"/>
    <w:rsid w:val="00913351"/>
    <w:rsid w:val="009176C2"/>
    <w:rsid w:val="009259C7"/>
    <w:rsid w:val="009416E6"/>
    <w:rsid w:val="00942FFE"/>
    <w:rsid w:val="00945557"/>
    <w:rsid w:val="00953BB1"/>
    <w:rsid w:val="00954760"/>
    <w:rsid w:val="00962E07"/>
    <w:rsid w:val="00980877"/>
    <w:rsid w:val="009811EA"/>
    <w:rsid w:val="00984DB8"/>
    <w:rsid w:val="00985659"/>
    <w:rsid w:val="009923D1"/>
    <w:rsid w:val="00995E09"/>
    <w:rsid w:val="009A02B0"/>
    <w:rsid w:val="009C138C"/>
    <w:rsid w:val="009C1786"/>
    <w:rsid w:val="009E7CA6"/>
    <w:rsid w:val="00A03720"/>
    <w:rsid w:val="00A10BD8"/>
    <w:rsid w:val="00A1690F"/>
    <w:rsid w:val="00A2145A"/>
    <w:rsid w:val="00A216D4"/>
    <w:rsid w:val="00A22F67"/>
    <w:rsid w:val="00A239FA"/>
    <w:rsid w:val="00A27693"/>
    <w:rsid w:val="00A27D9E"/>
    <w:rsid w:val="00A37B46"/>
    <w:rsid w:val="00A46A14"/>
    <w:rsid w:val="00A50DAB"/>
    <w:rsid w:val="00A578DA"/>
    <w:rsid w:val="00A726D5"/>
    <w:rsid w:val="00A77A21"/>
    <w:rsid w:val="00A81E90"/>
    <w:rsid w:val="00A979BB"/>
    <w:rsid w:val="00AA3FA7"/>
    <w:rsid w:val="00AA7FAB"/>
    <w:rsid w:val="00AB19E8"/>
    <w:rsid w:val="00AC3E3B"/>
    <w:rsid w:val="00AC430E"/>
    <w:rsid w:val="00AC714F"/>
    <w:rsid w:val="00AE0224"/>
    <w:rsid w:val="00AE2047"/>
    <w:rsid w:val="00AE7E32"/>
    <w:rsid w:val="00B048F5"/>
    <w:rsid w:val="00B05DBD"/>
    <w:rsid w:val="00B151DC"/>
    <w:rsid w:val="00B158DD"/>
    <w:rsid w:val="00B16AA5"/>
    <w:rsid w:val="00B21404"/>
    <w:rsid w:val="00B224F1"/>
    <w:rsid w:val="00B2500B"/>
    <w:rsid w:val="00B42631"/>
    <w:rsid w:val="00B4317E"/>
    <w:rsid w:val="00B43AB6"/>
    <w:rsid w:val="00B5790C"/>
    <w:rsid w:val="00B60229"/>
    <w:rsid w:val="00B952A9"/>
    <w:rsid w:val="00B97EB3"/>
    <w:rsid w:val="00BB193D"/>
    <w:rsid w:val="00BB5A96"/>
    <w:rsid w:val="00BC6EA6"/>
    <w:rsid w:val="00BD215A"/>
    <w:rsid w:val="00BD3F1D"/>
    <w:rsid w:val="00BD5D89"/>
    <w:rsid w:val="00BE3FFF"/>
    <w:rsid w:val="00BE52E3"/>
    <w:rsid w:val="00BE55F6"/>
    <w:rsid w:val="00BF33A3"/>
    <w:rsid w:val="00C04E4A"/>
    <w:rsid w:val="00C062DD"/>
    <w:rsid w:val="00C21BD0"/>
    <w:rsid w:val="00C2389B"/>
    <w:rsid w:val="00C25C86"/>
    <w:rsid w:val="00C27C63"/>
    <w:rsid w:val="00C638F0"/>
    <w:rsid w:val="00C66E32"/>
    <w:rsid w:val="00C80898"/>
    <w:rsid w:val="00C81F87"/>
    <w:rsid w:val="00C8277A"/>
    <w:rsid w:val="00C927CC"/>
    <w:rsid w:val="00C93CA7"/>
    <w:rsid w:val="00C950A7"/>
    <w:rsid w:val="00CA79CC"/>
    <w:rsid w:val="00CC2CAC"/>
    <w:rsid w:val="00CC2EE1"/>
    <w:rsid w:val="00CC3DD4"/>
    <w:rsid w:val="00CC5598"/>
    <w:rsid w:val="00CF051F"/>
    <w:rsid w:val="00CF215A"/>
    <w:rsid w:val="00CF301D"/>
    <w:rsid w:val="00D0621F"/>
    <w:rsid w:val="00D063EB"/>
    <w:rsid w:val="00D152A7"/>
    <w:rsid w:val="00D21211"/>
    <w:rsid w:val="00D34F02"/>
    <w:rsid w:val="00D36DC8"/>
    <w:rsid w:val="00D4582F"/>
    <w:rsid w:val="00D5208C"/>
    <w:rsid w:val="00D52C0A"/>
    <w:rsid w:val="00D5335B"/>
    <w:rsid w:val="00D5573E"/>
    <w:rsid w:val="00D61945"/>
    <w:rsid w:val="00D71E05"/>
    <w:rsid w:val="00D80551"/>
    <w:rsid w:val="00D902C0"/>
    <w:rsid w:val="00DA65BF"/>
    <w:rsid w:val="00DD02EC"/>
    <w:rsid w:val="00DE2BD9"/>
    <w:rsid w:val="00DE6C50"/>
    <w:rsid w:val="00E00036"/>
    <w:rsid w:val="00E04684"/>
    <w:rsid w:val="00E04926"/>
    <w:rsid w:val="00E07001"/>
    <w:rsid w:val="00E164FC"/>
    <w:rsid w:val="00E204CF"/>
    <w:rsid w:val="00E379EB"/>
    <w:rsid w:val="00E46AC2"/>
    <w:rsid w:val="00E50BF0"/>
    <w:rsid w:val="00E53CE7"/>
    <w:rsid w:val="00E7482D"/>
    <w:rsid w:val="00E76A69"/>
    <w:rsid w:val="00E80907"/>
    <w:rsid w:val="00E81BA6"/>
    <w:rsid w:val="00E87732"/>
    <w:rsid w:val="00EB10FA"/>
    <w:rsid w:val="00EB1386"/>
    <w:rsid w:val="00EB353B"/>
    <w:rsid w:val="00EC6905"/>
    <w:rsid w:val="00ED1288"/>
    <w:rsid w:val="00ED21CB"/>
    <w:rsid w:val="00ED51D4"/>
    <w:rsid w:val="00EE1558"/>
    <w:rsid w:val="00F04508"/>
    <w:rsid w:val="00F06AC9"/>
    <w:rsid w:val="00F11474"/>
    <w:rsid w:val="00F154DF"/>
    <w:rsid w:val="00F246F9"/>
    <w:rsid w:val="00F32030"/>
    <w:rsid w:val="00F42506"/>
    <w:rsid w:val="00F7177C"/>
    <w:rsid w:val="00F91D4F"/>
    <w:rsid w:val="00F9628C"/>
    <w:rsid w:val="00FA2304"/>
    <w:rsid w:val="00FA40FD"/>
    <w:rsid w:val="00FA7B57"/>
    <w:rsid w:val="00FB7AC1"/>
    <w:rsid w:val="00FC48C5"/>
    <w:rsid w:val="00FC65B4"/>
    <w:rsid w:val="00FE5975"/>
    <w:rsid w:val="00FF1A98"/>
    <w:rsid w:val="00FF269B"/>
    <w:rsid w:val="00FF4451"/>
    <w:rsid w:val="00FF54F6"/>
    <w:rsid w:val="00FF5B98"/>
    <w:rsid w:val="17886171"/>
    <w:rsid w:val="3E3B04E4"/>
    <w:rsid w:val="56F03CB1"/>
    <w:rsid w:val="75A45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vi-VN" w:bidi="ar-SA"/>
    </w:rPr>
  </w:style>
  <w:style w:type="paragraph" w:styleId="2">
    <w:name w:val="heading 1"/>
    <w:basedOn w:val="1"/>
    <w:next w:val="1"/>
    <w:link w:val="10"/>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3"/>
    <w:basedOn w:val="1"/>
    <w:next w:val="1"/>
    <w:link w:val="7"/>
    <w:unhideWhenUsed/>
    <w:qFormat/>
    <w:uiPriority w:val="0"/>
    <w:pPr>
      <w:keepNext/>
      <w:spacing w:before="240" w:after="60"/>
      <w:outlineLvl w:val="2"/>
    </w:pPr>
    <w:rPr>
      <w:rFonts w:ascii="Cambria" w:hAnsi="Cambria"/>
      <w:b/>
      <w:bCs/>
      <w:sz w:val="26"/>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9"/>
    <w:semiHidden/>
    <w:unhideWhenUsed/>
    <w:qFormat/>
    <w:uiPriority w:val="99"/>
    <w:rPr>
      <w:rFonts w:ascii="Tahoma" w:hAnsi="Tahoma" w:cs="Tahoma"/>
      <w:sz w:val="16"/>
      <w:szCs w:val="16"/>
    </w:rPr>
  </w:style>
  <w:style w:type="character" w:customStyle="1" w:styleId="7">
    <w:name w:val="Heading 3 Char"/>
    <w:basedOn w:val="4"/>
    <w:link w:val="3"/>
    <w:uiPriority w:val="0"/>
    <w:rPr>
      <w:rFonts w:ascii="Cambria" w:hAnsi="Cambria" w:eastAsia="Times New Roman" w:cs="Times New Roman"/>
      <w:b/>
      <w:bCs/>
      <w:sz w:val="26"/>
      <w:szCs w:val="26"/>
      <w:lang w:eastAsia="vi-VN"/>
    </w:rPr>
  </w:style>
  <w:style w:type="character" w:customStyle="1" w:styleId="8">
    <w:name w:val="sum-math"/>
    <w:basedOn w:val="4"/>
    <w:uiPriority w:val="0"/>
  </w:style>
  <w:style w:type="character" w:customStyle="1" w:styleId="9">
    <w:name w:val="Balloon Text Char"/>
    <w:basedOn w:val="4"/>
    <w:link w:val="6"/>
    <w:semiHidden/>
    <w:qFormat/>
    <w:uiPriority w:val="99"/>
    <w:rPr>
      <w:rFonts w:ascii="Tahoma" w:hAnsi="Tahoma" w:eastAsia="Times New Roman" w:cs="Tahoma"/>
      <w:sz w:val="16"/>
      <w:szCs w:val="16"/>
      <w:lang w:eastAsia="vi-VN"/>
    </w:rPr>
  </w:style>
  <w:style w:type="character" w:customStyle="1" w:styleId="10">
    <w:name w:val="Heading 1 Char"/>
    <w:basedOn w:val="4"/>
    <w:link w:val="2"/>
    <w:uiPriority w:val="9"/>
    <w:rPr>
      <w:rFonts w:asciiTheme="majorHAnsi" w:hAnsiTheme="majorHAnsi" w:eastAsiaTheme="majorEastAsia" w:cstheme="majorBidi"/>
      <w:b/>
      <w:bCs/>
      <w:color w:val="366091" w:themeColor="accent1" w:themeShade="BF"/>
      <w:szCs w:val="28"/>
      <w:lang w:eastAsia="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00A97-72B5-4F20-9285-C8957A84EB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1929</Words>
  <Characters>10998</Characters>
  <Lines>91</Lines>
  <Paragraphs>25</Paragraphs>
  <TotalTime>378</TotalTime>
  <ScaleCrop>false</ScaleCrop>
  <LinksUpToDate>false</LinksUpToDate>
  <CharactersWithSpaces>12902</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2022-09-12T07:19:00Z</dcterms:created>
  <dc:creator>ADMIN</dc:creator>
  <cp:lastModifiedBy>Admin</cp:lastModifiedBy>
  <cp:lastPrinted>2022-09-12T01:41:00Z</cp:lastPrinted>
  <dcterms:modified xsi:type="dcterms:W3CDTF">2022-10-11T12:55:21Z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D384FC466A234C6E8FB3C841DC20FD7D</vt:lpwstr>
  </property>
</Properties>
</file>